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9A886">
      <w:pPr>
        <w:jc w:val="center"/>
      </w:pPr>
      <w:r>
        <w:rPr>
          <w:b/>
          <w:sz w:val="32"/>
        </w:rPr>
        <w:t>Sizing &amp; Body-Fit Preferences (D3)</w:t>
      </w:r>
    </w:p>
    <w:p w14:paraId="46E3AA45">
      <w:r>
        <w:rPr>
          <w:i/>
        </w:rPr>
        <w:t>Text corpus: size chart writing patterns, return-reason attribution, and optimization suggestions (data-oriented).</w:t>
      </w:r>
    </w:p>
    <w:p w14:paraId="5C79D617">
      <w:r>
        <w:rPr>
          <w:b/>
          <w:sz w:val="28"/>
        </w:rPr>
        <w:t>D3-1 尺码偏大（对比欧美/亚洲的偏移）</w:t>
      </w:r>
    </w:p>
    <w:p w14:paraId="411B7824">
      <w:pPr>
        <w:pStyle w:val="16"/>
      </w:pPr>
      <w:r>
        <w:t>尺码偏移的典型“误解点”：同样标 S/M/L 或同样标 54/56/58，不同品牌宽松度与衣长策略不一致，导致“买对长度却买错宽度”。</w:t>
      </w:r>
    </w:p>
    <w:p w14:paraId="0C69D237">
      <w:pPr>
        <w:pStyle w:val="16"/>
      </w:pPr>
      <w:r>
        <w:t>在中东/GCC 常见的 abaya 尺码逻辑是“按衣长（英寸）定码”，例如 54=衣长 54 英寸（从肩点到下摆），并非传统欧美的胸围/腰围主导。</w:t>
      </w:r>
    </w:p>
    <w:p w14:paraId="3B95324D">
      <w:pPr>
        <w:pStyle w:val="16"/>
      </w:pPr>
      <w:r>
        <w:t>偏大/偏小通常来自两个维度：①衣长（对身高/鞋跟敏感）②宽松量（对胸/臀围与“是否贴身”敏感）。</w:t>
      </w:r>
    </w:p>
    <w:p w14:paraId="24E72912">
      <w:r>
        <w:rPr>
          <w:b/>
          <w:sz w:val="24"/>
        </w:rPr>
        <w:t>尺码表写法：把“长度体系”与“宽松体系”分开写</w:t>
      </w:r>
    </w:p>
    <w:p w14:paraId="4E85678B">
      <w:pPr>
        <w:pStyle w:val="16"/>
      </w:pPr>
      <w:r>
        <w:t>写法一（长度主导）：Size number = garment length (inches). Height → recommended size.</w:t>
      </w:r>
    </w:p>
    <w:p w14:paraId="7B0E6643">
      <w:pPr>
        <w:pStyle w:val="16"/>
      </w:pPr>
      <w:r>
        <w:t>写法二（双表并列）：表 A 写身高→建议尺码；表 B 写同尺码的衣身宽度（胸围/臀围/下摆围）与袖长。</w:t>
      </w:r>
    </w:p>
    <w:p w14:paraId="197AC69D">
      <w:pPr>
        <w:pStyle w:val="16"/>
      </w:pPr>
      <w:r>
        <w:t>写法三（用例说明）：用一个具体人物示例解释“介于两档身高”“穿高跟”“想更拖地/更到脚踝”的选择差异。</w:t>
      </w:r>
    </w:p>
    <w:p w14:paraId="185D8998">
      <w:r>
        <w:rPr>
          <w:b/>
          <w:sz w:val="24"/>
        </w:rPr>
        <w:t>示例：按身高推荐 abaya 长度（可直接套用）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58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04D918">
            <w:pPr>
              <w:spacing w:after="0" w:line="240" w:lineRule="auto"/>
            </w:pPr>
            <w:r>
              <w:rPr>
                <w:b/>
              </w:rPr>
              <w:t>身高区间（cm）</w:t>
            </w:r>
          </w:p>
        </w:tc>
        <w:tc>
          <w:tcPr>
            <w:tcW w:w="2160" w:type="dxa"/>
          </w:tcPr>
          <w:p w14:paraId="3EE0220A">
            <w:pPr>
              <w:spacing w:after="0" w:line="240" w:lineRule="auto"/>
            </w:pPr>
            <w:r>
              <w:rPr>
                <w:b/>
              </w:rPr>
              <w:t>身高区间（ft/in）</w:t>
            </w:r>
          </w:p>
        </w:tc>
        <w:tc>
          <w:tcPr>
            <w:tcW w:w="2160" w:type="dxa"/>
          </w:tcPr>
          <w:p w14:paraId="0B854743">
            <w:pPr>
              <w:spacing w:after="0" w:line="240" w:lineRule="auto"/>
            </w:pPr>
            <w:r>
              <w:rPr>
                <w:b/>
              </w:rPr>
              <w:t>建议尺码（长度英寸）</w:t>
            </w:r>
          </w:p>
        </w:tc>
        <w:tc>
          <w:tcPr>
            <w:tcW w:w="2160" w:type="dxa"/>
          </w:tcPr>
          <w:p w14:paraId="271F08CE">
            <w:pPr>
              <w:spacing w:after="0" w:line="240" w:lineRule="auto"/>
            </w:pPr>
            <w:r>
              <w:rPr>
                <w:b/>
              </w:rPr>
              <w:t>效果偏好</w:t>
            </w:r>
          </w:p>
        </w:tc>
      </w:tr>
      <w:tr w14:paraId="70A2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D10A90">
            <w:pPr>
              <w:spacing w:after="0" w:line="240" w:lineRule="auto"/>
            </w:pPr>
            <w:r>
              <w:t>150–155</w:t>
            </w:r>
          </w:p>
        </w:tc>
        <w:tc>
          <w:tcPr>
            <w:tcW w:w="2160" w:type="dxa"/>
          </w:tcPr>
          <w:p w14:paraId="1D0CC003">
            <w:pPr>
              <w:spacing w:after="0" w:line="240" w:lineRule="auto"/>
            </w:pPr>
            <w:r>
              <w:t>4'11"–5'1"</w:t>
            </w:r>
          </w:p>
        </w:tc>
        <w:tc>
          <w:tcPr>
            <w:tcW w:w="2160" w:type="dxa"/>
          </w:tcPr>
          <w:p w14:paraId="68416528">
            <w:pPr>
              <w:spacing w:after="0" w:line="240" w:lineRule="auto"/>
            </w:pPr>
            <w:r>
              <w:t>52–54</w:t>
            </w:r>
          </w:p>
        </w:tc>
        <w:tc>
          <w:tcPr>
            <w:tcW w:w="2160" w:type="dxa"/>
          </w:tcPr>
          <w:p w14:paraId="63EED073">
            <w:pPr>
              <w:spacing w:after="0" w:line="240" w:lineRule="auto"/>
            </w:pPr>
            <w:r>
              <w:t>更到脚踝 / 更日常</w:t>
            </w:r>
          </w:p>
        </w:tc>
      </w:tr>
      <w:tr w14:paraId="6C70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57A95D">
            <w:pPr>
              <w:spacing w:after="0" w:line="240" w:lineRule="auto"/>
            </w:pPr>
            <w:r>
              <w:t>156–160</w:t>
            </w:r>
          </w:p>
        </w:tc>
        <w:tc>
          <w:tcPr>
            <w:tcW w:w="2160" w:type="dxa"/>
          </w:tcPr>
          <w:p w14:paraId="5567D815">
            <w:pPr>
              <w:spacing w:after="0" w:line="240" w:lineRule="auto"/>
            </w:pPr>
            <w:r>
              <w:t>5'2"–5'3"</w:t>
            </w:r>
          </w:p>
        </w:tc>
        <w:tc>
          <w:tcPr>
            <w:tcW w:w="2160" w:type="dxa"/>
          </w:tcPr>
          <w:p w14:paraId="20FCD84A">
            <w:pPr>
              <w:spacing w:after="0" w:line="240" w:lineRule="auto"/>
            </w:pPr>
            <w:r>
              <w:t>54–56</w:t>
            </w:r>
          </w:p>
        </w:tc>
        <w:tc>
          <w:tcPr>
            <w:tcW w:w="2160" w:type="dxa"/>
          </w:tcPr>
          <w:p w14:paraId="512EA298">
            <w:pPr>
              <w:spacing w:after="0" w:line="240" w:lineRule="auto"/>
            </w:pPr>
            <w:r>
              <w:t>脚踝附近 / 轻微贴地</w:t>
            </w:r>
          </w:p>
        </w:tc>
      </w:tr>
      <w:tr w14:paraId="69E0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2FB61A">
            <w:pPr>
              <w:spacing w:after="0" w:line="240" w:lineRule="auto"/>
            </w:pPr>
            <w:r>
              <w:t>161–165</w:t>
            </w:r>
          </w:p>
        </w:tc>
        <w:tc>
          <w:tcPr>
            <w:tcW w:w="2160" w:type="dxa"/>
          </w:tcPr>
          <w:p w14:paraId="07783BFF">
            <w:pPr>
              <w:spacing w:after="0" w:line="240" w:lineRule="auto"/>
            </w:pPr>
            <w:r>
              <w:t>5'4"–5'5"</w:t>
            </w:r>
          </w:p>
        </w:tc>
        <w:tc>
          <w:tcPr>
            <w:tcW w:w="2160" w:type="dxa"/>
          </w:tcPr>
          <w:p w14:paraId="1D14017F">
            <w:pPr>
              <w:spacing w:after="0" w:line="240" w:lineRule="auto"/>
            </w:pPr>
            <w:r>
              <w:t>56–58</w:t>
            </w:r>
          </w:p>
        </w:tc>
        <w:tc>
          <w:tcPr>
            <w:tcW w:w="2160" w:type="dxa"/>
          </w:tcPr>
          <w:p w14:paraId="44F0662F">
            <w:pPr>
              <w:spacing w:after="0" w:line="240" w:lineRule="auto"/>
            </w:pPr>
            <w:r>
              <w:t>更正式垂坠</w:t>
            </w:r>
          </w:p>
        </w:tc>
      </w:tr>
      <w:tr w14:paraId="41CC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9111DB">
            <w:pPr>
              <w:spacing w:after="0" w:line="240" w:lineRule="auto"/>
            </w:pPr>
            <w:r>
              <w:t>166–170</w:t>
            </w:r>
          </w:p>
        </w:tc>
        <w:tc>
          <w:tcPr>
            <w:tcW w:w="2160" w:type="dxa"/>
          </w:tcPr>
          <w:p w14:paraId="3228FBF6">
            <w:pPr>
              <w:spacing w:after="0" w:line="240" w:lineRule="auto"/>
            </w:pPr>
            <w:r>
              <w:t>5'6"–5'7"</w:t>
            </w:r>
          </w:p>
        </w:tc>
        <w:tc>
          <w:tcPr>
            <w:tcW w:w="2160" w:type="dxa"/>
          </w:tcPr>
          <w:p w14:paraId="3B14B636">
            <w:pPr>
              <w:spacing w:after="0" w:line="240" w:lineRule="auto"/>
            </w:pPr>
            <w:r>
              <w:t>58–60</w:t>
            </w:r>
          </w:p>
        </w:tc>
        <w:tc>
          <w:tcPr>
            <w:tcW w:w="2160" w:type="dxa"/>
          </w:tcPr>
          <w:p w14:paraId="175B3C9B">
            <w:pPr>
              <w:spacing w:after="0" w:line="240" w:lineRule="auto"/>
            </w:pPr>
            <w:r>
              <w:t>贴地更明显</w:t>
            </w:r>
          </w:p>
        </w:tc>
      </w:tr>
      <w:tr w14:paraId="0BFC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AB3B9">
            <w:pPr>
              <w:spacing w:after="0" w:line="240" w:lineRule="auto"/>
            </w:pPr>
            <w:r>
              <w:t>171–175</w:t>
            </w:r>
          </w:p>
        </w:tc>
        <w:tc>
          <w:tcPr>
            <w:tcW w:w="2160" w:type="dxa"/>
          </w:tcPr>
          <w:p w14:paraId="5FF2DAAD">
            <w:pPr>
              <w:spacing w:after="0" w:line="240" w:lineRule="auto"/>
            </w:pPr>
            <w:r>
              <w:t>5'8"–5'9"</w:t>
            </w:r>
          </w:p>
        </w:tc>
        <w:tc>
          <w:tcPr>
            <w:tcW w:w="2160" w:type="dxa"/>
          </w:tcPr>
          <w:p w14:paraId="2C6411F1">
            <w:pPr>
              <w:spacing w:after="0" w:line="240" w:lineRule="auto"/>
            </w:pPr>
            <w:r>
              <w:t>60–62</w:t>
            </w:r>
          </w:p>
        </w:tc>
        <w:tc>
          <w:tcPr>
            <w:tcW w:w="2160" w:type="dxa"/>
          </w:tcPr>
          <w:p w14:paraId="6CEE459A">
            <w:pPr>
              <w:spacing w:after="0" w:line="240" w:lineRule="auto"/>
            </w:pPr>
            <w:r>
              <w:t>适配高个/穿跟</w:t>
            </w:r>
          </w:p>
        </w:tc>
      </w:tr>
      <w:tr w14:paraId="06A7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E98F7">
            <w:pPr>
              <w:spacing w:after="0" w:line="240" w:lineRule="auto"/>
            </w:pPr>
            <w:r>
              <w:t>176+</w:t>
            </w:r>
          </w:p>
        </w:tc>
        <w:tc>
          <w:tcPr>
            <w:tcW w:w="2160" w:type="dxa"/>
          </w:tcPr>
          <w:p w14:paraId="5EA5642C">
            <w:pPr>
              <w:spacing w:after="0" w:line="240" w:lineRule="auto"/>
            </w:pPr>
            <w:r>
              <w:t>5'10"+</w:t>
            </w:r>
          </w:p>
        </w:tc>
        <w:tc>
          <w:tcPr>
            <w:tcW w:w="2160" w:type="dxa"/>
          </w:tcPr>
          <w:p w14:paraId="27079B5F">
            <w:pPr>
              <w:spacing w:after="0" w:line="240" w:lineRule="auto"/>
            </w:pPr>
            <w:r>
              <w:t>62–64</w:t>
            </w:r>
          </w:p>
        </w:tc>
        <w:tc>
          <w:tcPr>
            <w:tcW w:w="2160" w:type="dxa"/>
          </w:tcPr>
          <w:p w14:paraId="1545D254">
            <w:pPr>
              <w:spacing w:after="0" w:line="240" w:lineRule="auto"/>
            </w:pPr>
            <w:r>
              <w:t>更适合拖地效果</w:t>
            </w:r>
          </w:p>
        </w:tc>
      </w:tr>
    </w:tbl>
    <w:p w14:paraId="59FB18F9">
      <w:pPr>
        <w:pStyle w:val="16"/>
      </w:pPr>
      <w:r>
        <w:t>脚踝长度（更适合日常）：下摆覆盖脚踝但不拖地；楼梯、通勤更安全。</w:t>
      </w:r>
    </w:p>
    <w:p w14:paraId="1E754FE0">
      <w:pPr>
        <w:pStyle w:val="16"/>
      </w:pPr>
      <w:r>
        <w:t>贴地/拖地（更适合场合）：用于 Eid、晚宴、婚礼等更正式的垂坠感；室外更易脏或绊脚。</w:t>
      </w:r>
    </w:p>
    <w:p w14:paraId="0FAA2A26">
      <w:pPr>
        <w:pStyle w:val="16"/>
      </w:pPr>
      <w:r>
        <w:t>穿高跟策略：如果计划穿跟，建议在对应身高尺码基础上加长 1–2 英寸。</w:t>
      </w:r>
    </w:p>
    <w:p w14:paraId="4A595AFF">
      <w:r>
        <w:rPr>
          <w:b/>
          <w:sz w:val="28"/>
        </w:rPr>
        <w:t>D3-2 大码友好（版型、弹力、腰带）</w:t>
      </w:r>
    </w:p>
    <w:p w14:paraId="345D242C">
      <w:r>
        <w:rPr>
          <w:b/>
          <w:sz w:val="24"/>
        </w:rPr>
        <w:t>尺码表写法：用“成衣胸围/臀围 + 建议留量”解释宽松度</w:t>
      </w:r>
    </w:p>
    <w:p w14:paraId="3CDF49B7">
      <w:pPr>
        <w:pStyle w:val="16"/>
      </w:pPr>
      <w:r>
        <w:t>用“成衣胸围/臀围”而不是“人体胸围/臀围”：因为 abaya 本身要宽松，不是贴身。</w:t>
      </w:r>
    </w:p>
    <w:p w14:paraId="73E992D3">
      <w:pPr>
        <w:pStyle w:val="16"/>
      </w:pPr>
      <w:r>
        <w:t>建议留量写法：胸围/臀围建议至少比人体围度大 2–4 英寸（更端庄、更不贴身）。</w:t>
      </w:r>
    </w:p>
    <w:p w14:paraId="22B64A22">
      <w:pPr>
        <w:pStyle w:val="16"/>
      </w:pPr>
      <w:r>
        <w:t>如果同一长度有 Regular / Wide：用差值写清楚（例如 Wide 比 Regular 衣身宽 2–3 英寸）。</w:t>
      </w:r>
    </w:p>
    <w:p w14:paraId="6293A7DD">
      <w:r>
        <w:rPr>
          <w:b/>
          <w:sz w:val="24"/>
        </w:rPr>
        <w:t>大码友好功能点 → 典型场景 → 话术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271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94581E">
            <w:pPr>
              <w:spacing w:after="0" w:line="240" w:lineRule="auto"/>
            </w:pPr>
            <w:r>
              <w:rPr>
                <w:b/>
              </w:rPr>
              <w:t>功能点</w:t>
            </w:r>
          </w:p>
        </w:tc>
        <w:tc>
          <w:tcPr>
            <w:tcW w:w="2880" w:type="dxa"/>
          </w:tcPr>
          <w:p w14:paraId="23E3CB4E">
            <w:pPr>
              <w:spacing w:after="0" w:line="240" w:lineRule="auto"/>
            </w:pPr>
            <w:r>
              <w:rPr>
                <w:b/>
              </w:rPr>
              <w:t>典型场景</w:t>
            </w:r>
          </w:p>
        </w:tc>
        <w:tc>
          <w:tcPr>
            <w:tcW w:w="2880" w:type="dxa"/>
          </w:tcPr>
          <w:p w14:paraId="511F2AC1">
            <w:pPr>
              <w:spacing w:after="0" w:line="240" w:lineRule="auto"/>
            </w:pPr>
            <w:r>
              <w:rPr>
                <w:b/>
              </w:rPr>
              <w:t>话术</w:t>
            </w:r>
          </w:p>
        </w:tc>
      </w:tr>
      <w:tr w14:paraId="2DEB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BEA2EC">
            <w:pPr>
              <w:spacing w:after="0" w:line="240" w:lineRule="auto"/>
            </w:pPr>
            <w:r>
              <w:t>更大下摆围/更 A 字</w:t>
            </w:r>
          </w:p>
        </w:tc>
        <w:tc>
          <w:tcPr>
            <w:tcW w:w="2880" w:type="dxa"/>
          </w:tcPr>
          <w:p w14:paraId="4A36A627">
            <w:pPr>
              <w:spacing w:after="0" w:line="240" w:lineRule="auto"/>
            </w:pPr>
            <w:r>
              <w:t>走路、坐下、上下车</w:t>
            </w:r>
          </w:p>
        </w:tc>
        <w:tc>
          <w:tcPr>
            <w:tcW w:w="2880" w:type="dxa"/>
          </w:tcPr>
          <w:p w14:paraId="3BE22F06">
            <w:pPr>
              <w:spacing w:after="0" w:line="240" w:lineRule="auto"/>
            </w:pPr>
            <w:r>
              <w:t>活动更自如，坐下也不紧绷，侧面线条更顺。</w:t>
            </w:r>
          </w:p>
        </w:tc>
      </w:tr>
      <w:tr w14:paraId="0725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C8B96">
            <w:pPr>
              <w:spacing w:after="0" w:line="240" w:lineRule="auto"/>
            </w:pPr>
            <w:r>
              <w:t>弹力面料（微弹）</w:t>
            </w:r>
          </w:p>
        </w:tc>
        <w:tc>
          <w:tcPr>
            <w:tcW w:w="2880" w:type="dxa"/>
          </w:tcPr>
          <w:p w14:paraId="754ABE5E">
            <w:pPr>
              <w:spacing w:after="0" w:line="240" w:lineRule="auto"/>
            </w:pPr>
            <w:r>
              <w:t>长时间穿着、旅行、通勤</w:t>
            </w:r>
          </w:p>
        </w:tc>
        <w:tc>
          <w:tcPr>
            <w:tcW w:w="2880" w:type="dxa"/>
          </w:tcPr>
          <w:p w14:paraId="10DE6691">
            <w:pPr>
              <w:spacing w:after="0" w:line="240" w:lineRule="auto"/>
            </w:pPr>
            <w:r>
              <w:t>微弹更舒适，不勒不紧，全天更轻松。</w:t>
            </w:r>
          </w:p>
        </w:tc>
      </w:tr>
      <w:tr w14:paraId="4EF4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9A56D4">
            <w:pPr>
              <w:spacing w:after="0" w:line="240" w:lineRule="auto"/>
            </w:pPr>
            <w:r>
              <w:t>可调节腰带/内置抽绳</w:t>
            </w:r>
          </w:p>
        </w:tc>
        <w:tc>
          <w:tcPr>
            <w:tcW w:w="2880" w:type="dxa"/>
          </w:tcPr>
          <w:p w14:paraId="37D202CD">
            <w:pPr>
              <w:spacing w:after="0" w:line="240" w:lineRule="auto"/>
            </w:pPr>
            <w:r>
              <w:t>不同体型阶段、想显比例</w:t>
            </w:r>
          </w:p>
        </w:tc>
        <w:tc>
          <w:tcPr>
            <w:tcW w:w="2880" w:type="dxa"/>
          </w:tcPr>
          <w:p w14:paraId="0DD7B498">
            <w:pPr>
              <w:spacing w:after="0" w:line="240" w:lineRule="auto"/>
            </w:pPr>
            <w:r>
              <w:t>想宽松就放松，想显比例就轻收，一件适配更多身形。</w:t>
            </w:r>
          </w:p>
        </w:tc>
      </w:tr>
      <w:tr w14:paraId="26A3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7C55D3">
            <w:pPr>
              <w:spacing w:after="0" w:line="240" w:lineRule="auto"/>
            </w:pPr>
            <w:r>
              <w:t>加宽肩袖与袖窿</w:t>
            </w:r>
          </w:p>
        </w:tc>
        <w:tc>
          <w:tcPr>
            <w:tcW w:w="2880" w:type="dxa"/>
          </w:tcPr>
          <w:p w14:paraId="081ADCAB">
            <w:pPr>
              <w:spacing w:after="0" w:line="240" w:lineRule="auto"/>
            </w:pPr>
            <w:r>
              <w:t>抬手拿东西、带娃、工作</w:t>
            </w:r>
          </w:p>
        </w:tc>
        <w:tc>
          <w:tcPr>
            <w:tcW w:w="2880" w:type="dxa"/>
          </w:tcPr>
          <w:p w14:paraId="06CDA3F6">
            <w:pPr>
              <w:spacing w:after="0" w:line="240" w:lineRule="auto"/>
            </w:pPr>
            <w:r>
              <w:t>抬手不拉扯，袖子更服帖，动作更自然。</w:t>
            </w:r>
          </w:p>
        </w:tc>
      </w:tr>
      <w:tr w14:paraId="0FE7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143BA0">
            <w:pPr>
              <w:spacing w:after="0" w:line="240" w:lineRule="auto"/>
            </w:pPr>
            <w:r>
              <w:t>多档尺码 + 多身高长度</w:t>
            </w:r>
          </w:p>
        </w:tc>
        <w:tc>
          <w:tcPr>
            <w:tcW w:w="2880" w:type="dxa"/>
          </w:tcPr>
          <w:p w14:paraId="6CBDC581">
            <w:pPr>
              <w:spacing w:after="0" w:line="240" w:lineRule="auto"/>
            </w:pPr>
            <w:r>
              <w:t>同一码不同身高/体型</w:t>
            </w:r>
          </w:p>
        </w:tc>
        <w:tc>
          <w:tcPr>
            <w:tcW w:w="2880" w:type="dxa"/>
          </w:tcPr>
          <w:p w14:paraId="13B00010">
            <w:pPr>
              <w:spacing w:after="0" w:line="240" w:lineRule="auto"/>
            </w:pPr>
            <w:r>
              <w:t>长度与宽度都可选，减少“长度对了但宽度不对”。</w:t>
            </w:r>
          </w:p>
        </w:tc>
      </w:tr>
    </w:tbl>
    <w:p w14:paraId="42872EE1">
      <w:r>
        <w:rPr>
          <w:b/>
          <w:sz w:val="28"/>
        </w:rPr>
        <w:t>D3-3 身高区间与衣长策略</w:t>
      </w:r>
    </w:p>
    <w:p w14:paraId="3EE1DD7E">
      <w:r>
        <w:rPr>
          <w:b/>
          <w:sz w:val="24"/>
        </w:rPr>
        <w:t>衣长策略写法（把“测量方法”写清楚）</w:t>
      </w:r>
    </w:p>
    <w:p w14:paraId="52751ECA">
      <w:pPr>
        <w:pStyle w:val="16"/>
      </w:pPr>
      <w:r>
        <w:t>Length = shoulder-to-hem (inches). 尺码数字就是衣长（英寸）。</w:t>
      </w:r>
    </w:p>
    <w:p w14:paraId="25A81A35">
      <w:pPr>
        <w:pStyle w:val="16"/>
      </w:pPr>
      <w:r>
        <w:t>如何测量：从肩点（肩颈交界最高点）量到你想要的下摆位置（脚踝/贴地）。</w:t>
      </w:r>
    </w:p>
    <w:p w14:paraId="0A113834">
      <w:pPr>
        <w:pStyle w:val="16"/>
      </w:pPr>
      <w:r>
        <w:t>介于两档：想更端庄/穿跟 → 选长一档；想更日常/不拖地 → 选短一档。</w:t>
      </w:r>
    </w:p>
    <w:p w14:paraId="060609FA">
      <w:r>
        <w:rPr>
          <w:b/>
          <w:sz w:val="24"/>
        </w:rPr>
        <w:t>退换货原因归因（数据型语料：分类口径）</w:t>
      </w:r>
    </w:p>
    <w:p w14:paraId="2E622AC6">
      <w:pPr>
        <w:pStyle w:val="16"/>
      </w:pPr>
      <w:r>
        <w:t>退货原因一级分类建议：①长度不合适 ②宽松度不合适（偏大/偏小）③期望不符（材质/厚薄/透明度）④色差 ⑤瑕疵/做工 ⑥其他。</w:t>
      </w:r>
    </w:p>
    <w:p w14:paraId="14FC610C">
      <w:pPr>
        <w:pStyle w:val="16"/>
      </w:pPr>
      <w:r>
        <w:t>二级原因细分（用于改版）：长度过长/过短；胸围偏紧/偏松；袖长偏短/偏长；肩部过窄/过宽；下摆围影响走路；穿跟后露脚踝。</w:t>
      </w:r>
    </w:p>
    <w:p w14:paraId="19B2A55B">
      <w:r>
        <w:rPr>
          <w:b/>
          <w:sz w:val="24"/>
        </w:rPr>
        <w:t>退货原因“可量化”字段（便于后续统计）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05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447C2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55D83C05">
            <w:pPr>
              <w:spacing w:after="0" w:line="240" w:lineRule="auto"/>
            </w:pPr>
            <w:r>
              <w:rPr>
                <w:b/>
              </w:rPr>
              <w:t>取值示例</w:t>
            </w:r>
          </w:p>
        </w:tc>
        <w:tc>
          <w:tcPr>
            <w:tcW w:w="2880" w:type="dxa"/>
          </w:tcPr>
          <w:p w14:paraId="31D87D2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F79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57A62">
            <w:pPr>
              <w:spacing w:after="0" w:line="240" w:lineRule="auto"/>
            </w:pPr>
            <w:r>
              <w:t>ReturnReason_L1</w:t>
            </w:r>
          </w:p>
        </w:tc>
        <w:tc>
          <w:tcPr>
            <w:tcW w:w="2880" w:type="dxa"/>
          </w:tcPr>
          <w:p w14:paraId="3C2F2774">
            <w:pPr>
              <w:spacing w:after="0" w:line="240" w:lineRule="auto"/>
            </w:pPr>
            <w:r>
              <w:t>Length / Fit / Fabric / Color / Defect</w:t>
            </w:r>
          </w:p>
        </w:tc>
        <w:tc>
          <w:tcPr>
            <w:tcW w:w="2880" w:type="dxa"/>
          </w:tcPr>
          <w:p w14:paraId="0B7FAC16">
            <w:pPr>
              <w:spacing w:after="0" w:line="240" w:lineRule="auto"/>
            </w:pPr>
            <w:r>
              <w:t>一级原因</w:t>
            </w:r>
          </w:p>
        </w:tc>
      </w:tr>
      <w:tr w14:paraId="0303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714433">
            <w:pPr>
              <w:spacing w:after="0" w:line="240" w:lineRule="auto"/>
            </w:pPr>
            <w:r>
              <w:t>ReturnReason_L2</w:t>
            </w:r>
          </w:p>
        </w:tc>
        <w:tc>
          <w:tcPr>
            <w:tcW w:w="2880" w:type="dxa"/>
          </w:tcPr>
          <w:p w14:paraId="1405D650">
            <w:pPr>
              <w:spacing w:after="0" w:line="240" w:lineRule="auto"/>
            </w:pPr>
            <w:r>
              <w:t>Too long / Too short / Too tight / Too loose</w:t>
            </w:r>
          </w:p>
        </w:tc>
        <w:tc>
          <w:tcPr>
            <w:tcW w:w="2880" w:type="dxa"/>
          </w:tcPr>
          <w:p w14:paraId="57F5915E">
            <w:pPr>
              <w:spacing w:after="0" w:line="240" w:lineRule="auto"/>
            </w:pPr>
            <w:r>
              <w:t>二级原因</w:t>
            </w:r>
          </w:p>
        </w:tc>
      </w:tr>
      <w:tr w14:paraId="368E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5652A">
            <w:pPr>
              <w:spacing w:after="0" w:line="240" w:lineRule="auto"/>
            </w:pPr>
            <w:r>
              <w:t>Height_cm</w:t>
            </w:r>
          </w:p>
        </w:tc>
        <w:tc>
          <w:tcPr>
            <w:tcW w:w="2880" w:type="dxa"/>
          </w:tcPr>
          <w:p w14:paraId="4427D8CB">
            <w:pPr>
              <w:spacing w:after="0" w:line="240" w:lineRule="auto"/>
            </w:pPr>
            <w:r>
              <w:t>165</w:t>
            </w:r>
          </w:p>
        </w:tc>
        <w:tc>
          <w:tcPr>
            <w:tcW w:w="2880" w:type="dxa"/>
          </w:tcPr>
          <w:p w14:paraId="66219FCF">
            <w:pPr>
              <w:spacing w:after="0" w:line="240" w:lineRule="auto"/>
            </w:pPr>
            <w:r>
              <w:t>身高（cm）</w:t>
            </w:r>
          </w:p>
        </w:tc>
      </w:tr>
      <w:tr w14:paraId="3BD3A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D08D12">
            <w:pPr>
              <w:spacing w:after="0" w:line="240" w:lineRule="auto"/>
            </w:pPr>
            <w:r>
              <w:t>Heel</w:t>
            </w:r>
          </w:p>
        </w:tc>
        <w:tc>
          <w:tcPr>
            <w:tcW w:w="2880" w:type="dxa"/>
          </w:tcPr>
          <w:p w14:paraId="4CEBBB25">
            <w:pPr>
              <w:spacing w:after="0" w:line="240" w:lineRule="auto"/>
            </w:pPr>
            <w:r>
              <w:t>0 / 5 / 7</w:t>
            </w:r>
          </w:p>
        </w:tc>
        <w:tc>
          <w:tcPr>
            <w:tcW w:w="2880" w:type="dxa"/>
          </w:tcPr>
          <w:p w14:paraId="78418032">
            <w:pPr>
              <w:spacing w:after="0" w:line="240" w:lineRule="auto"/>
            </w:pPr>
            <w:r>
              <w:t>鞋跟高度（cm）</w:t>
            </w:r>
          </w:p>
        </w:tc>
      </w:tr>
      <w:tr w14:paraId="29DA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01BF7">
            <w:pPr>
              <w:spacing w:after="0" w:line="240" w:lineRule="auto"/>
            </w:pPr>
            <w:r>
              <w:t>PreferredLength</w:t>
            </w:r>
          </w:p>
        </w:tc>
        <w:tc>
          <w:tcPr>
            <w:tcW w:w="2880" w:type="dxa"/>
          </w:tcPr>
          <w:p w14:paraId="1D79B5C6">
            <w:pPr>
              <w:spacing w:after="0" w:line="240" w:lineRule="auto"/>
            </w:pPr>
            <w:r>
              <w:t>Ankle / Floor</w:t>
            </w:r>
          </w:p>
        </w:tc>
        <w:tc>
          <w:tcPr>
            <w:tcW w:w="2880" w:type="dxa"/>
          </w:tcPr>
          <w:p w14:paraId="70DB1359">
            <w:pPr>
              <w:spacing w:after="0" w:line="240" w:lineRule="auto"/>
            </w:pPr>
            <w:r>
              <w:t>期望下摆</w:t>
            </w:r>
          </w:p>
        </w:tc>
      </w:tr>
      <w:tr w14:paraId="287F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3302F">
            <w:pPr>
              <w:spacing w:after="0" w:line="240" w:lineRule="auto"/>
            </w:pPr>
            <w:r>
              <w:t>BodyShape</w:t>
            </w:r>
          </w:p>
        </w:tc>
        <w:tc>
          <w:tcPr>
            <w:tcW w:w="2880" w:type="dxa"/>
          </w:tcPr>
          <w:p w14:paraId="33E00749">
            <w:pPr>
              <w:spacing w:after="0" w:line="240" w:lineRule="auto"/>
            </w:pPr>
            <w:r>
              <w:t>Straight / Curvy / Plus</w:t>
            </w:r>
          </w:p>
        </w:tc>
        <w:tc>
          <w:tcPr>
            <w:tcW w:w="2880" w:type="dxa"/>
          </w:tcPr>
          <w:p w14:paraId="4F239816">
            <w:pPr>
              <w:spacing w:after="0" w:line="240" w:lineRule="auto"/>
            </w:pPr>
            <w:r>
              <w:t>体型标签（自报）</w:t>
            </w:r>
          </w:p>
        </w:tc>
      </w:tr>
      <w:tr w14:paraId="1922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4BA1DD">
            <w:pPr>
              <w:spacing w:after="0" w:line="240" w:lineRule="auto"/>
            </w:pPr>
            <w:r>
              <w:t>SizeOrdered</w:t>
            </w:r>
          </w:p>
        </w:tc>
        <w:tc>
          <w:tcPr>
            <w:tcW w:w="2880" w:type="dxa"/>
          </w:tcPr>
          <w:p w14:paraId="7DE39586">
            <w:pPr>
              <w:spacing w:after="0" w:line="240" w:lineRule="auto"/>
            </w:pPr>
            <w:r>
              <w:t>56</w:t>
            </w:r>
          </w:p>
        </w:tc>
        <w:tc>
          <w:tcPr>
            <w:tcW w:w="2880" w:type="dxa"/>
          </w:tcPr>
          <w:p w14:paraId="5DBED4FB">
            <w:pPr>
              <w:spacing w:after="0" w:line="240" w:lineRule="auto"/>
            </w:pPr>
            <w:r>
              <w:t>下单尺码（衣长）</w:t>
            </w:r>
          </w:p>
        </w:tc>
      </w:tr>
      <w:tr w14:paraId="7A7F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344B84">
            <w:pPr>
              <w:spacing w:after="0" w:line="240" w:lineRule="auto"/>
            </w:pPr>
            <w:r>
              <w:t>FitExpectation</w:t>
            </w:r>
          </w:p>
        </w:tc>
        <w:tc>
          <w:tcPr>
            <w:tcW w:w="2880" w:type="dxa"/>
          </w:tcPr>
          <w:p w14:paraId="61051AE1">
            <w:pPr>
              <w:spacing w:after="0" w:line="240" w:lineRule="auto"/>
            </w:pPr>
            <w:r>
              <w:t>Loose / Regular</w:t>
            </w:r>
          </w:p>
        </w:tc>
        <w:tc>
          <w:tcPr>
            <w:tcW w:w="2880" w:type="dxa"/>
          </w:tcPr>
          <w:p w14:paraId="7AD61243">
            <w:pPr>
              <w:spacing w:after="0" w:line="240" w:lineRule="auto"/>
            </w:pPr>
            <w:r>
              <w:t>期望宽松度</w:t>
            </w:r>
          </w:p>
        </w:tc>
      </w:tr>
    </w:tbl>
    <w:p w14:paraId="34731F65">
      <w:r>
        <w:rPr>
          <w:b/>
          <w:sz w:val="24"/>
        </w:rPr>
        <w:t>已知行业级“退货/尺码”数据口径（用于写入报告）</w:t>
      </w:r>
    </w:p>
    <w:p w14:paraId="6D5E6CB2">
      <w:pPr>
        <w:pStyle w:val="16"/>
      </w:pPr>
      <w:r>
        <w:t>线上服装退货率在多个研究/行业文章中常被引用为 20–30% 的量级（不同市场与品类波动较大）。</w:t>
      </w:r>
    </w:p>
    <w:p w14:paraId="5812A0B9">
      <w:pPr>
        <w:pStyle w:val="16"/>
      </w:pPr>
      <w:r>
        <w:t>尺码/合身问题是服装线上退货的高频原因；部分行业文章给出“尺码导致退货占比 30–40%（在服装退货中）”的估计口径。</w:t>
      </w:r>
    </w:p>
    <w:p w14:paraId="5BF32706">
      <w:r>
        <w:rPr>
          <w:b/>
          <w:sz w:val="24"/>
        </w:rPr>
        <w:t>优化建议（可执行，且可用于 A/B 的“数据型”写法）</w:t>
      </w:r>
    </w:p>
    <w:p w14:paraId="4AA11E30">
      <w:pPr>
        <w:pStyle w:val="16"/>
      </w:pPr>
      <w:r>
        <w:t>把“身高→衣长”做成首屏选择器：先选身高段，再选想</w:t>
      </w:r>
      <w:bookmarkStart w:id="0" w:name="_GoBack"/>
      <w:bookmarkEnd w:id="0"/>
      <w:r>
        <w:t>要脚踝/贴地，再给出建议尺码与试穿效果图。</w:t>
      </w:r>
    </w:p>
    <w:p w14:paraId="47399EB0">
      <w:pPr>
        <w:pStyle w:val="16"/>
      </w:pPr>
      <w:r>
        <w:t>把“成衣胸围/臀围”公开：让用户知道同一码的宽松度，减少“买大了/买小了”的主观误差。</w:t>
      </w:r>
    </w:p>
    <w:p w14:paraId="4CA8E074">
      <w:pPr>
        <w:pStyle w:val="16"/>
      </w:pPr>
      <w:r>
        <w:t>在商品页增加 3 个固定字段：Model height、Model size、Heel height（平底/高跟），统一口径。</w:t>
      </w:r>
    </w:p>
    <w:p w14:paraId="56992595">
      <w:pPr>
        <w:pStyle w:val="16"/>
      </w:pPr>
      <w:r>
        <w:t>对高退货 SKU 做“尺码注释标签”：Runs long / Runs short / Extra loose / Narrow shoulders。</w:t>
      </w:r>
    </w:p>
    <w:p w14:paraId="1E7198E7">
      <w:pPr>
        <w:pStyle w:val="16"/>
      </w:pPr>
      <w:r>
        <w:t>把退货原因从自由文本改为结构化：Length / Fit / Fabric / Color / Defect + 二级原因；每周滚动看 Top3 原因。</w:t>
      </w:r>
    </w:p>
    <w:p w14:paraId="3871CB8E">
      <w:pPr>
        <w:pStyle w:val="16"/>
      </w:pPr>
      <w:r>
        <w:t>用“介于两码”的决策句式降低犹豫：更想脚踝不拖地选 56；更想贴地或穿跟选 58。</w:t>
      </w:r>
    </w:p>
    <w:p w14:paraId="78D41BBB">
      <w:r>
        <w:rPr>
          <w:b/>
          <w:sz w:val="28"/>
        </w:rPr>
        <w:t>Plain URLs (reference)</w:t>
      </w:r>
    </w:p>
    <w:p w14:paraId="27E56103">
      <w:pPr>
        <w:pStyle w:val="16"/>
      </w:pPr>
      <w:r>
        <w:t>Abaya sizing by length + example: https://anaqainspired.com/pages/size-guide</w:t>
      </w:r>
    </w:p>
    <w:p w14:paraId="68525C11">
      <w:pPr>
        <w:pStyle w:val="16"/>
      </w:pPr>
      <w:r>
        <w:t>Height-based sizing + size up for heels + modest fit ease: https://www.shamswear.com/pages/size-guide</w:t>
      </w:r>
    </w:p>
    <w:p w14:paraId="26413F63">
      <w:pPr>
        <w:pStyle w:val="16"/>
      </w:pPr>
      <w:r>
        <w:t>Open abaya height/bust/length table: https://fajrnoor.com/pages/open-abaya-size-chart</w:t>
      </w:r>
    </w:p>
    <w:p w14:paraId="6C65B4F0">
      <w:pPr>
        <w:pStyle w:val="16"/>
      </w:pPr>
      <w:r>
        <w:t>Online return rate (20-30%) benchmark: https://www.beumergroup.com/knowledge/wd/handling-the-challenges-of-returns-in-the-e-commerce-fashion-industry/</w:t>
      </w:r>
    </w:p>
    <w:p w14:paraId="2B178756">
      <w:pPr>
        <w:pStyle w:val="16"/>
      </w:pPr>
      <w:r>
        <w:t>Sizing issues share of returns (industry estimate): https://www.fitezapp.com/blog/reduce-fashion-returns.html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C3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1684</Words>
  <Characters>2777</Characters>
  <Lines>0</Lines>
  <Paragraphs>0</Paragraphs>
  <TotalTime>0</TotalTime>
  <ScaleCrop>false</ScaleCrop>
  <LinksUpToDate>false</LinksUpToDate>
  <CharactersWithSpaces>2961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6276D8F9CBB74A40970BA2F35602D00F_13</vt:lpwstr>
  </property>
</Properties>
</file>