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312C" w14:textId="77777777" w:rsidR="00921E3D" w:rsidRPr="00921E3D" w:rsidRDefault="00921E3D" w:rsidP="00921E3D">
      <w:pPr>
        <w:rPr>
          <w:rFonts w:hint="eastAsia"/>
          <w:b/>
          <w:bCs/>
          <w:sz w:val="32"/>
          <w:szCs w:val="32"/>
        </w:rPr>
      </w:pPr>
      <w:r w:rsidRPr="00921E3D">
        <w:rPr>
          <w:rFonts w:hint="eastAsia"/>
          <w:b/>
          <w:bCs/>
          <w:sz w:val="32"/>
          <w:szCs w:val="32"/>
        </w:rPr>
        <w:t>风险提示维</w:t>
      </w:r>
    </w:p>
    <w:p w14:paraId="2BA99E4F" w14:textId="5525CD6F" w:rsidR="00921E3D" w:rsidRDefault="00921E3D" w:rsidP="00921E3D">
      <w:r>
        <w:rPr>
          <w:rFonts w:hint="eastAsia"/>
        </w:rPr>
        <w:t>一、</w:t>
      </w:r>
      <w:r w:rsidR="00881FF6">
        <w:rPr>
          <w:rFonts w:ascii="Arial" w:hAnsi="Arial" w:cs="Arial"/>
          <w:color w:val="000000"/>
        </w:rPr>
        <w:t>LUQMANI M, YAVAS U, QURAESHI Z. Advertising in Saudi Arabia: Content and Regulation[J]. International Marketing Review, 1989, 6(?). DOI:10.1108/EUM0000000001503.</w:t>
      </w:r>
    </w:p>
    <w:p w14:paraId="02C41B5C" w14:textId="35BEB787" w:rsidR="00921E3D" w:rsidRPr="00921E3D" w:rsidRDefault="00921E3D" w:rsidP="00881FF6">
      <w:pPr>
        <w:rPr>
          <w:rFonts w:hint="eastAsia"/>
        </w:rPr>
      </w:pPr>
      <w:hyperlink r:id="rId6" w:history="1">
        <w:r w:rsidRPr="0046521A">
          <w:rPr>
            <w:rStyle w:val="af2"/>
          </w:rPr>
          <w:t>https://www.researchgate.net/publication/235285307_Advertising_in_Saudi_Arabia_Content_and_Regulation</w:t>
        </w:r>
      </w:hyperlink>
      <w:r>
        <w:rPr>
          <w:rFonts w:hint="eastAsia"/>
        </w:rPr>
        <w:t xml:space="preserve"> </w:t>
      </w:r>
    </w:p>
    <w:p w14:paraId="32FE2D46" w14:textId="7852C86E" w:rsidR="00921E3D" w:rsidRDefault="00921E3D" w:rsidP="00921E3D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宗教合规风险</w:t>
      </w:r>
    </w:p>
    <w:p w14:paraId="5C1B9BE3" w14:textId="77777777" w:rsidR="00921E3D" w:rsidRDefault="00921E3D" w:rsidP="00921E3D">
      <w:pPr>
        <w:rPr>
          <w:rFonts w:hint="eastAsia"/>
        </w:rPr>
      </w:pPr>
      <w:r>
        <w:rPr>
          <w:rFonts w:hint="eastAsia"/>
        </w:rPr>
        <w:t>沙特为宗教主导型国家，伊斯兰教教法高于一切文化因素，广告内容必须与伊斯兰宗教准则完全兼容。广告严禁涉及酒精、赌博、欺诈、偶像崇拜、高利贷、通奸及不雅暴露内容；女性形象必须严格遮盖，仅可露出面部，不得出现性感或暴露呈现，常用卡通人物替代女性形象以避免违规。广告不得作出虚假承诺，必须基于真实产品利益，不得使用被视为偶像崇拜的雕像、半身像等元素。每日五次礼拜期间，广播电视不得进行产品推广，商业活动需暂停。</w:t>
      </w:r>
    </w:p>
    <w:p w14:paraId="2A383BEB" w14:textId="2006DCFA" w:rsidR="00921E3D" w:rsidRDefault="00921E3D" w:rsidP="00921E3D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文化习俗风险</w:t>
      </w:r>
    </w:p>
    <w:p w14:paraId="4A5F61CA" w14:textId="77777777" w:rsidR="00921E3D" w:rsidRDefault="00921E3D" w:rsidP="00921E3D">
      <w:pPr>
        <w:rPr>
          <w:rFonts w:hint="eastAsia"/>
        </w:rPr>
      </w:pPr>
      <w:r>
        <w:rPr>
          <w:rFonts w:hint="eastAsia"/>
        </w:rPr>
        <w:t>广告即使合法，若与当地文化规范与价值观冲突，仍会被审查。广告不得出现违背沙特传统礼仪的内容，如用左手为客人奉茶、客人穿鞋就座等，此类内容会引发消费者反感。直接采用西方广告内容而不做本土化调整，易造成文化冒犯，损害品牌可信度。沙特社会高度重视家庭隐私，广告不得侵入私人家庭领域。</w:t>
      </w:r>
    </w:p>
    <w:p w14:paraId="48375DCC" w14:textId="7BC1BECF" w:rsidR="00921E3D" w:rsidRDefault="00921E3D" w:rsidP="00921E3D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政府监管与禁令风险</w:t>
      </w:r>
    </w:p>
    <w:p w14:paraId="0F1625AB" w14:textId="77777777" w:rsidR="00921E3D" w:rsidRDefault="00921E3D" w:rsidP="00921E3D">
      <w:pPr>
        <w:rPr>
          <w:rFonts w:hint="eastAsia"/>
        </w:rPr>
      </w:pPr>
      <w:r>
        <w:rPr>
          <w:rFonts w:hint="eastAsia"/>
        </w:rPr>
        <w:t>沙特政府对广告实施严格管控，商务部负责监督广告是否合法，信息部负责审核电视广告。香烟广告、药品广告被官方禁止。户外广告因被视为视觉污染，部分市政部门已出台限制措施，违规可能面临高额罚款。宣传过期、变质食品等不合格产品的广告属于严重违规行为。政府推动沙特化政策，广告需更多使用沙特本土元素，过度西化的广告内容不符合政策导向。</w:t>
      </w:r>
    </w:p>
    <w:p w14:paraId="5FAFBA54" w14:textId="7A16B655" w:rsidR="00921E3D" w:rsidRDefault="00921E3D" w:rsidP="00921E3D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促销活动违规风险</w:t>
      </w:r>
    </w:p>
    <w:p w14:paraId="738C24F8" w14:textId="77777777" w:rsidR="00921E3D" w:rsidRDefault="00921E3D" w:rsidP="00921E3D">
      <w:pPr>
        <w:rPr>
          <w:rFonts w:hint="eastAsia"/>
        </w:rPr>
      </w:pPr>
      <w:r>
        <w:rPr>
          <w:rFonts w:hint="eastAsia"/>
        </w:rPr>
        <w:t>以抽奖、彩票等形式开展的促销宣传被认定为赌博，违反伊斯兰教义，</w:t>
      </w:r>
      <w:r>
        <w:rPr>
          <w:rFonts w:hint="eastAsia"/>
        </w:rPr>
        <w:t xml:space="preserve">1983 </w:t>
      </w:r>
      <w:r>
        <w:rPr>
          <w:rFonts w:hint="eastAsia"/>
        </w:rPr>
        <w:t>年已被商务部禁止。此类促销方式必须替换为问答竞赛等合法形式。</w:t>
      </w:r>
    </w:p>
    <w:p w14:paraId="627332FB" w14:textId="2FB32610" w:rsidR="00921E3D" w:rsidRDefault="00921E3D" w:rsidP="00921E3D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违规处罚风险</w:t>
      </w:r>
    </w:p>
    <w:p w14:paraId="7877AECE" w14:textId="77777777" w:rsidR="00921E3D" w:rsidRDefault="00921E3D" w:rsidP="00921E3D">
      <w:pPr>
        <w:rPr>
          <w:rFonts w:hint="eastAsia"/>
        </w:rPr>
      </w:pPr>
      <w:r>
        <w:rPr>
          <w:rFonts w:hint="eastAsia"/>
        </w:rPr>
        <w:t>广告违规行为将受到严厉且无例外的处罚。违规企业需自行付费刊登连续多日的公开更正广告，接受官方通报批评。广告主、广告公司与媒体平台均会受到连带处罚。沙特暂无具体成文的广告监管细则，企业需采取保守广告策略，进行自我合规审查，非常规、挑衅性广告极易引发风险。</w:t>
      </w:r>
    </w:p>
    <w:p w14:paraId="227A1D0F" w14:textId="43EBAF66" w:rsidR="00921E3D" w:rsidRDefault="00921E3D" w:rsidP="00921E3D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跨区域传播风险</w:t>
      </w:r>
    </w:p>
    <w:p w14:paraId="2740A209" w14:textId="41B9849E" w:rsidR="005E6476" w:rsidRDefault="00921E3D" w:rsidP="00921E3D">
      <w:r>
        <w:rPr>
          <w:rFonts w:hint="eastAsia"/>
        </w:rPr>
        <w:t>沙特可接收其他海湾国家及埃及的电视广告，跨国投放的广告仍可能被沙特监管机构认定违规并追责。</w:t>
      </w:r>
    </w:p>
    <w:p w14:paraId="7D4CBB06" w14:textId="6C27D32E" w:rsidR="00921E3D" w:rsidRDefault="00921E3D" w:rsidP="00921E3D">
      <w:pPr>
        <w:rPr>
          <w:rFonts w:ascii="Arial" w:hAnsi="Arial" w:cs="Arial"/>
          <w:color w:val="000000"/>
        </w:rPr>
      </w:pPr>
      <w:r>
        <w:rPr>
          <w:rFonts w:hint="eastAsia"/>
        </w:rPr>
        <w:t>二、</w:t>
      </w:r>
      <w:r w:rsidR="00881FF6">
        <w:rPr>
          <w:rFonts w:ascii="Arial" w:hAnsi="Arial" w:cs="Arial"/>
          <w:color w:val="000000"/>
        </w:rPr>
        <w:t xml:space="preserve">ALASHWALI E, ALHUZAIMI A. Evaluating PDPL Compliance in E-Commerce Websites: Insights and Lessons Learned from Human and LLM Analyses[EB/OL]. arXiv:2602.18616, 2026-03-31. </w:t>
      </w:r>
      <w:hyperlink r:id="rId7" w:history="1">
        <w:r w:rsidR="00881FF6" w:rsidRPr="0046521A">
          <w:rPr>
            <w:rStyle w:val="af2"/>
            <w:rFonts w:ascii="Arial" w:hAnsi="Arial" w:cs="Arial"/>
          </w:rPr>
          <w:t>https://arxiv.org/abs/2602.18616</w:t>
        </w:r>
      </w:hyperlink>
      <w:r w:rsidR="00881FF6">
        <w:rPr>
          <w:rFonts w:ascii="Arial" w:hAnsi="Arial" w:cs="Arial"/>
          <w:color w:val="000000"/>
        </w:rPr>
        <w:t>.</w:t>
      </w:r>
      <w:r w:rsidR="00881FF6">
        <w:rPr>
          <w:rFonts w:ascii="Arial" w:hAnsi="Arial" w:cs="Arial" w:hint="eastAsia"/>
          <w:color w:val="000000"/>
        </w:rPr>
        <w:t xml:space="preserve"> </w:t>
      </w:r>
    </w:p>
    <w:p w14:paraId="66C10703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法律合规风险（</w:t>
      </w:r>
      <w:r>
        <w:rPr>
          <w:rFonts w:hint="eastAsia"/>
        </w:rPr>
        <w:t xml:space="preserve">PDPL </w:t>
      </w:r>
      <w:r>
        <w:rPr>
          <w:rFonts w:hint="eastAsia"/>
        </w:rPr>
        <w:t>硬性要求）</w:t>
      </w:r>
    </w:p>
    <w:p w14:paraId="1636EC2A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>沙特</w:t>
      </w:r>
      <w:r>
        <w:rPr>
          <w:rFonts w:hint="eastAsia"/>
        </w:rPr>
        <w:t xml:space="preserve"> PDPL </w:t>
      </w:r>
      <w:r>
        <w:rPr>
          <w:rFonts w:hint="eastAsia"/>
        </w:rPr>
        <w:t>于</w:t>
      </w:r>
      <w:r>
        <w:rPr>
          <w:rFonts w:hint="eastAsia"/>
        </w:rPr>
        <w:t xml:space="preserve"> 2024 </w:t>
      </w:r>
      <w:r>
        <w:rPr>
          <w:rFonts w:hint="eastAsia"/>
        </w:rPr>
        <w:t>年全面实施，要求电商必须提供隐私政策，并明确告知用户数据留存期限、删除权、副本获取权、投诉机制四项核心内容。</w:t>
      </w:r>
    </w:p>
    <w:p w14:paraId="540EB437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>调研显示：</w:t>
      </w:r>
      <w:r>
        <w:rPr>
          <w:rFonts w:hint="eastAsia"/>
        </w:rPr>
        <w:t xml:space="preserve">9% </w:t>
      </w:r>
      <w:r>
        <w:rPr>
          <w:rFonts w:hint="eastAsia"/>
        </w:rPr>
        <w:t>的电商网站未提供隐私政策，直接构成违法。</w:t>
      </w:r>
    </w:p>
    <w:p w14:paraId="53247B38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>仅</w:t>
      </w:r>
      <w:r>
        <w:rPr>
          <w:rFonts w:hint="eastAsia"/>
        </w:rPr>
        <w:t xml:space="preserve">31% </w:t>
      </w:r>
      <w:r>
        <w:rPr>
          <w:rFonts w:hint="eastAsia"/>
        </w:rPr>
        <w:t>的网站完整声明四项要求，</w:t>
      </w:r>
      <w:r>
        <w:rPr>
          <w:rFonts w:hint="eastAsia"/>
        </w:rPr>
        <w:t xml:space="preserve">69% </w:t>
      </w:r>
      <w:r>
        <w:rPr>
          <w:rFonts w:hint="eastAsia"/>
        </w:rPr>
        <w:t>存在不同程度违法风险。</w:t>
      </w:r>
    </w:p>
    <w:p w14:paraId="3997F9FF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>即便声明权利，超</w:t>
      </w:r>
      <w:r>
        <w:rPr>
          <w:rFonts w:hint="eastAsia"/>
        </w:rPr>
        <w:t xml:space="preserve"> 80% </w:t>
      </w:r>
      <w:r>
        <w:rPr>
          <w:rFonts w:hint="eastAsia"/>
        </w:rPr>
        <w:t>未提供处理时限、联络方式、责任部门等法定细节，仍属不合规。</w:t>
      </w:r>
    </w:p>
    <w:p w14:paraId="165E7FA2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平台托管高风险</w:t>
      </w:r>
    </w:p>
    <w:p w14:paraId="42533514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lastRenderedPageBreak/>
        <w:t>使用沙特本地电商建站平台（</w:t>
      </w:r>
      <w:r>
        <w:rPr>
          <w:rFonts w:hint="eastAsia"/>
        </w:rPr>
        <w:t>Salla</w:t>
      </w:r>
      <w:r>
        <w:rPr>
          <w:rFonts w:hint="eastAsia"/>
        </w:rPr>
        <w:t>、</w:t>
      </w:r>
      <w:proofErr w:type="spellStart"/>
      <w:r>
        <w:rPr>
          <w:rFonts w:hint="eastAsia"/>
        </w:rPr>
        <w:t>Zid</w:t>
      </w:r>
      <w:proofErr w:type="spellEnd"/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的商家，不合规率高达</w:t>
      </w:r>
      <w:r>
        <w:rPr>
          <w:rFonts w:hint="eastAsia"/>
        </w:rPr>
        <w:t xml:space="preserve"> 70%</w:t>
      </w:r>
      <w:r>
        <w:rPr>
          <w:rFonts w:hint="eastAsia"/>
        </w:rPr>
        <w:t>，且无一家完全合规。</w:t>
      </w:r>
    </w:p>
    <w:p w14:paraId="0D282832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>风险根源：责任主体模糊，网站所有者与平台互相认为对方负责数据合规，导致政策缺失、内容不达标。</w:t>
      </w:r>
    </w:p>
    <w:p w14:paraId="589AB72A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>排名靠前的网站更容易不合规（</w:t>
      </w:r>
      <w:r>
        <w:rPr>
          <w:rFonts w:hint="eastAsia"/>
        </w:rPr>
        <w:t xml:space="preserve">60% </w:t>
      </w:r>
      <w:r>
        <w:rPr>
          <w:rFonts w:hint="eastAsia"/>
        </w:rPr>
        <w:t>不合规），流量大但数据保护水平更低。</w:t>
      </w:r>
    </w:p>
    <w:p w14:paraId="4271BE85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隐私政策内容缺陷风险</w:t>
      </w:r>
    </w:p>
    <w:p w14:paraId="20A6BC40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>常见缺陷：</w:t>
      </w:r>
    </w:p>
    <w:p w14:paraId="3790A51D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>未声明数据留存期限与销毁方式；</w:t>
      </w:r>
    </w:p>
    <w:p w14:paraId="431B1669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>未告知用户如何行使删除权、获取副本权；</w:t>
      </w:r>
    </w:p>
    <w:p w14:paraId="0137A1ED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>未提供有效投诉渠道与处理时限；</w:t>
      </w:r>
    </w:p>
    <w:p w14:paraId="4E4BA42A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>混用</w:t>
      </w:r>
      <w:r>
        <w:rPr>
          <w:rFonts w:hint="eastAsia"/>
        </w:rPr>
        <w:t xml:space="preserve"> GDPR </w:t>
      </w:r>
      <w:r>
        <w:rPr>
          <w:rFonts w:hint="eastAsia"/>
        </w:rPr>
        <w:t>等境外法律术语，与</w:t>
      </w:r>
      <w:r>
        <w:rPr>
          <w:rFonts w:hint="eastAsia"/>
        </w:rPr>
        <w:t xml:space="preserve"> PDPL </w:t>
      </w:r>
      <w:r>
        <w:rPr>
          <w:rFonts w:hint="eastAsia"/>
        </w:rPr>
        <w:t>要求冲突；</w:t>
      </w:r>
    </w:p>
    <w:p w14:paraId="46E5B966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>政策与退货、条款等无关内容混杂，可读性差。</w:t>
      </w:r>
    </w:p>
    <w:p w14:paraId="760650B3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监管与执行风险</w:t>
      </w:r>
    </w:p>
    <w:p w14:paraId="6B52CA47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>尽管</w:t>
      </w:r>
      <w:r>
        <w:rPr>
          <w:rFonts w:hint="eastAsia"/>
        </w:rPr>
        <w:t xml:space="preserve"> SDAIA </w:t>
      </w:r>
      <w:r>
        <w:rPr>
          <w:rFonts w:hint="eastAsia"/>
        </w:rPr>
        <w:t>开展宣传与工具支持，但落地执行不足，大量商家处于</w:t>
      </w:r>
      <w:r>
        <w:rPr>
          <w:rFonts w:hint="eastAsia"/>
        </w:rPr>
        <w:t xml:space="preserve"> </w:t>
      </w:r>
      <w:r>
        <w:rPr>
          <w:rFonts w:hint="eastAsia"/>
        </w:rPr>
        <w:t>“违规但未被罚”</w:t>
      </w:r>
      <w:r>
        <w:rPr>
          <w:rFonts w:hint="eastAsia"/>
        </w:rPr>
        <w:t xml:space="preserve"> </w:t>
      </w:r>
      <w:r>
        <w:rPr>
          <w:rFonts w:hint="eastAsia"/>
        </w:rPr>
        <w:t>状态。</w:t>
      </w:r>
    </w:p>
    <w:p w14:paraId="6226EB52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>未来监管趋严后，无合规隐私政策、未履行告知义务的商家将面临处罚。</w:t>
      </w:r>
    </w:p>
    <w:p w14:paraId="0A1E876D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自动化审核误判风险</w:t>
      </w:r>
    </w:p>
    <w:p w14:paraId="503E23E2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 xml:space="preserve"> LLM </w:t>
      </w:r>
      <w:r>
        <w:rPr>
          <w:rFonts w:hint="eastAsia"/>
        </w:rPr>
        <w:t>自动审核隐私政策可提升效率，但存在风险：</w:t>
      </w:r>
    </w:p>
    <w:p w14:paraId="7AF37348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>逐字解读导致过度严格</w:t>
      </w:r>
      <w:r>
        <w:rPr>
          <w:rFonts w:hint="eastAsia"/>
        </w:rPr>
        <w:t xml:space="preserve"> / </w:t>
      </w:r>
      <w:r>
        <w:rPr>
          <w:rFonts w:hint="eastAsia"/>
        </w:rPr>
        <w:t>宽松；</w:t>
      </w:r>
    </w:p>
    <w:p w14:paraId="689A9DB8" w14:textId="77777777" w:rsidR="00AD2972" w:rsidRDefault="00AD2972" w:rsidP="00AD2972">
      <w:pPr>
        <w:rPr>
          <w:rFonts w:hint="eastAsia"/>
        </w:rPr>
      </w:pPr>
      <w:r>
        <w:rPr>
          <w:rFonts w:hint="eastAsia"/>
        </w:rPr>
        <w:t>读取页脚无关信息造成误判；</w:t>
      </w:r>
    </w:p>
    <w:p w14:paraId="15328EB1" w14:textId="0EA192C2" w:rsidR="00AD2972" w:rsidRDefault="00AD2972" w:rsidP="00AD2972">
      <w:pPr>
        <w:rPr>
          <w:rFonts w:hint="eastAsia"/>
        </w:rPr>
      </w:pPr>
      <w:r>
        <w:rPr>
          <w:rFonts w:hint="eastAsia"/>
        </w:rPr>
        <w:t>无法识别</w:t>
      </w:r>
      <w:r>
        <w:rPr>
          <w:rFonts w:hint="eastAsia"/>
        </w:rPr>
        <w:t xml:space="preserve"> PDF</w:t>
      </w:r>
      <w:r>
        <w:rPr>
          <w:rFonts w:hint="eastAsia"/>
        </w:rPr>
        <w:t>、弹窗、动态渲染的政策内容。</w:t>
      </w:r>
    </w:p>
    <w:sectPr w:rsidR="00AD29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D8821" w14:textId="77777777" w:rsidR="000767D0" w:rsidRDefault="000767D0" w:rsidP="005E6476">
      <w:r>
        <w:separator/>
      </w:r>
    </w:p>
  </w:endnote>
  <w:endnote w:type="continuationSeparator" w:id="0">
    <w:p w14:paraId="254A632D" w14:textId="77777777" w:rsidR="000767D0" w:rsidRDefault="000767D0" w:rsidP="005E6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F52E6" w14:textId="77777777" w:rsidR="000767D0" w:rsidRDefault="000767D0" w:rsidP="005E6476">
      <w:r>
        <w:separator/>
      </w:r>
    </w:p>
  </w:footnote>
  <w:footnote w:type="continuationSeparator" w:id="0">
    <w:p w14:paraId="3B579BFE" w14:textId="77777777" w:rsidR="000767D0" w:rsidRDefault="000767D0" w:rsidP="005E64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4E"/>
    <w:rsid w:val="000767D0"/>
    <w:rsid w:val="000A4531"/>
    <w:rsid w:val="002867E2"/>
    <w:rsid w:val="004B41A4"/>
    <w:rsid w:val="005E6476"/>
    <w:rsid w:val="006510B7"/>
    <w:rsid w:val="007102CC"/>
    <w:rsid w:val="007206EE"/>
    <w:rsid w:val="0082136C"/>
    <w:rsid w:val="00881FF6"/>
    <w:rsid w:val="00921E3D"/>
    <w:rsid w:val="0099725C"/>
    <w:rsid w:val="00A476CA"/>
    <w:rsid w:val="00AD2972"/>
    <w:rsid w:val="00AF26E3"/>
    <w:rsid w:val="00DC402A"/>
    <w:rsid w:val="00EE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2D688"/>
  <w15:chartTrackingRefBased/>
  <w15:docId w15:val="{D69D5AD9-4EED-4749-9F97-BF9D403B5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6F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F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F4E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F4E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F4E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F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F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F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A4531"/>
    <w:pPr>
      <w:spacing w:afterLines="250" w:after="780"/>
      <w:jc w:val="center"/>
    </w:pPr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a4">
    <w:name w:val="标题 字符"/>
    <w:basedOn w:val="a0"/>
    <w:link w:val="a3"/>
    <w:uiPriority w:val="10"/>
    <w:rsid w:val="000A4531"/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10">
    <w:name w:val="标题 1 字符"/>
    <w:basedOn w:val="a0"/>
    <w:link w:val="1"/>
    <w:uiPriority w:val="9"/>
    <w:rsid w:val="00EE6F4E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6F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6F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6F4E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6F4E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6F4E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6F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6F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6F4E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EE6F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6F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F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6F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F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F4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F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6F4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EE6F4E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64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647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64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6476"/>
    <w:rPr>
      <w:sz w:val="18"/>
      <w:szCs w:val="18"/>
    </w:rPr>
  </w:style>
  <w:style w:type="character" w:styleId="af2">
    <w:name w:val="Hyperlink"/>
    <w:basedOn w:val="a0"/>
    <w:uiPriority w:val="99"/>
    <w:unhideWhenUsed/>
    <w:rsid w:val="00921E3D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21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rxiv.org/abs/2602.1861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publication/235285307_Advertising_in_Saudi_Arabia_Content_and_Regulatio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3556268960@qq.com</dc:creator>
  <cp:keywords/>
  <dc:description/>
  <cp:lastModifiedBy>3556268960@qq.com</cp:lastModifiedBy>
  <cp:revision>2</cp:revision>
  <dcterms:created xsi:type="dcterms:W3CDTF">2026-04-12T12:23:00Z</dcterms:created>
  <dcterms:modified xsi:type="dcterms:W3CDTF">2026-04-12T12:54:00Z</dcterms:modified>
</cp:coreProperties>
</file>