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C36F1" w14:textId="77777777" w:rsidR="00D10C22" w:rsidRDefault="00000000">
      <w:pPr>
        <w:pStyle w:val="1"/>
      </w:pPr>
      <w:r>
        <w:t>Spatiotemporal multi-omic mapping dictates a dual-axis intervention framework for exosome-mediated meniscus repair</w:t>
      </w:r>
    </w:p>
    <w:p w14:paraId="21D4B982" w14:textId="4F84B624" w:rsidR="00D10C22" w:rsidRDefault="00000000">
      <w:r>
        <w:t>Authors: Shiyou Ren¹²³, Siyao Guan¹, Haiyang Yu²³*, Wentao Zhang¹*</w:t>
      </w:r>
    </w:p>
    <w:p w14:paraId="78DD70BD" w14:textId="1C24E501" w:rsidR="00D10C22" w:rsidRDefault="00000000">
      <w:r>
        <w:t>Affiliations:</w:t>
      </w:r>
    </w:p>
    <w:p w14:paraId="623AEB8F" w14:textId="77777777" w:rsidR="00D10C22" w:rsidRDefault="00000000">
      <w:r>
        <w:t>¹ Department of Sports Medicine, The Eighth Affiliated Hospital of Sun Yat-sen University, Shenzhen, Guangdong, China.</w:t>
      </w:r>
    </w:p>
    <w:p w14:paraId="096BB22E" w14:textId="77777777" w:rsidR="00D10C22" w:rsidRDefault="00000000">
      <w:r>
        <w:t>² Department of Sports Medicine, The First Affiliated Hospital of Anhui Medical University, Hefei, Anhui, China.</w:t>
      </w:r>
    </w:p>
    <w:p w14:paraId="039F5167" w14:textId="77777777" w:rsidR="00D10C22" w:rsidRDefault="00000000">
      <w:r>
        <w:t>³ Department of Orthopaedics, The Eighth Affiliated Hospital of Sun Yat-sen University, Shenzhen, Guangdong, China.</w:t>
      </w:r>
    </w:p>
    <w:p w14:paraId="120282DC" w14:textId="7E310BCF" w:rsidR="00D10C22" w:rsidRDefault="00000000">
      <w:r>
        <w:t>*Corresponding author:</w:t>
      </w:r>
    </w:p>
    <w:p w14:paraId="0562EC5F" w14:textId="77777777" w:rsidR="00D10C22" w:rsidRDefault="00000000">
      <w:r>
        <w:t>*Wentao Zhang, Email: zhangwt2007@sina.cn</w:t>
      </w:r>
    </w:p>
    <w:p w14:paraId="3F129FB3" w14:textId="3A9F0560" w:rsidR="00D10C22" w:rsidRDefault="00000000">
      <w:r>
        <w:t>*Co-correspondence**: Haiyang Yu, Email: fy.yhy@163.com</w:t>
      </w:r>
    </w:p>
    <w:p w14:paraId="48856FCB" w14:textId="55B5F698" w:rsidR="00D10C22" w:rsidRDefault="00000000">
      <w:r>
        <w:t>Running title: Spatiotemporal mapping dictates dual-axis framework for meniscus repair</w:t>
      </w:r>
    </w:p>
    <w:p w14:paraId="421E8973" w14:textId="6D15179C" w:rsidR="00D10C22" w:rsidRDefault="00000000">
      <w:r>
        <w:t>Keywords: Meniscus injury, MSC-derived exosomes, Single-cell RNA-seq, Multi-omics integration, Precision cargo mapping, CellChat, Pseudotime trajectory, Treatability scoring</w:t>
      </w:r>
    </w:p>
    <w:p w14:paraId="288BDE4A" w14:textId="77777777" w:rsidR="00D10C22" w:rsidRDefault="00000000">
      <w:pPr>
        <w:jc w:val="center"/>
      </w:pPr>
      <w:r>
        <w:t>────────────────────────────────────────────────────────────────────────────────</w:t>
      </w:r>
    </w:p>
    <w:p w14:paraId="18DB8ABC" w14:textId="77777777" w:rsidR="00D10C22" w:rsidRDefault="00000000">
      <w:pPr>
        <w:pStyle w:val="21"/>
      </w:pPr>
      <w:r>
        <w:t>Abstract</w:t>
      </w:r>
    </w:p>
    <w:p w14:paraId="39661D92" w14:textId="3A1DC150" w:rsidR="00D10C22" w:rsidRDefault="00000000">
      <w:r>
        <w:t>Background: Meniscus injuries are among the most prevalent orthopedic conditions globally, yet intrinsic healing capacity remains severely limited due to the tissue's avascular nature. While mesenchymal stem cell (MSC)-derived exosomes have emerged as promising cell-free therapeutics, the mechanisms underlying their reparative effects, optimal cellular targets, and intervention windows remain unclear.</w:t>
      </w:r>
    </w:p>
    <w:p w14:paraId="1D894AA0" w14:textId="61F31107" w:rsidR="00D10C22" w:rsidRDefault="00000000">
      <w:r>
        <w:t>Methods: We analyzed publicly available scRNA-seq data (GEO GSE133449; 6,759 cells) from human meniscus tissue, identifying 17 distinct cell populations. We analyzed 57 exosomal proteins and 30 miRNAs from MSC-derived exosomes and integrated these with single-cell transcriptomics through CellChat-based intercellular communication analysis and pseudotime trajectory modeling.</w:t>
      </w:r>
    </w:p>
    <w:p w14:paraId="370094C6" w14:textId="248334AA" w:rsidR="00D10C22" w:rsidRDefault="00000000">
      <w:r>
        <w:t xml:space="preserve">Results: Our analysis revealed a dual-axis repair mechanism: (1) A TGF-β signaling axis mediated by ligands TGFB1 and TGFB3 engaging receptors TGFBR1, ACVR1B, and ACVR1C to modulate the inflammatory microenvironment, and (2) An ECM reconstruction axis mediated by structural proteins COL1A1 and FN1 interacting with integrin receptors ITGB1, ITGAV, and CD44 to directly supplement extracellular matrix components. We developed a cell treatability scoring system that identified </w:t>
      </w:r>
      <w:r>
        <w:lastRenderedPageBreak/>
        <w:t>Endothelial cells (score: 0.841) and FC-Regulatory fibroblasts (score: 0.769) as optimal therapeutic targets. Spatiotemporal mapping of exosomal cargo onto the meniscus degeneration trajectory revealed phase-specific expression patterns: 18 proteins peaked in the early phase (pseudotime 0-0.33), 3 miRNAs peaked in the mid phase (pseudotime 0.34-0.66), and 5 miRNAs peaked in the late phase (pseudotime 0.67-1.0).</w:t>
      </w:r>
    </w:p>
    <w:p w14:paraId="2C582FB2" w14:textId="6681C14B" w:rsidR="00D10C22" w:rsidRDefault="00000000">
      <w:r>
        <w:t>Conclusions: This study provides a comprehensive mechanistic understanding of MSC-derived exosome-mediated meniscus repair, identifies optimal cellular targets and intervention windows, and establishes a dual-axis signaling framework for precision exosome therapy. Our findings enable personalized treatment strategies based on disease stage and provide a generalizable approach for dissecting exosome-mediated repair in other tissues.</w:t>
      </w:r>
    </w:p>
    <w:p w14:paraId="4E2A893E" w14:textId="776002B3" w:rsidR="00D10C22" w:rsidRDefault="00000000">
      <w:r>
        <w:t>Word count: 250 words</w:t>
      </w:r>
    </w:p>
    <w:p w14:paraId="50DFF799" w14:textId="77777777" w:rsidR="00D10C22" w:rsidRDefault="00000000">
      <w:pPr>
        <w:jc w:val="center"/>
      </w:pPr>
      <w:r>
        <w:t>────────────────────────────────────────────────────────────────────────────────</w:t>
      </w:r>
    </w:p>
    <w:p w14:paraId="3B2A8DE3" w14:textId="77777777" w:rsidR="00D10C22" w:rsidRDefault="00000000">
      <w:pPr>
        <w:pStyle w:val="21"/>
      </w:pPr>
      <w:r>
        <w:t>Introduction</w:t>
      </w:r>
    </w:p>
    <w:p w14:paraId="6A92071E" w14:textId="77777777" w:rsidR="00D10C22" w:rsidRDefault="00000000">
      <w:r>
        <w:t>Meniscus injuries are among the most common orthopedic conditions, affecting millions of individuals annually and representing a leading cause of knee osteoarthritis¹⁻². The meniscus plays crucial roles in load distribution, shock absorption, and joint stability; however, its intrinsic healing capacity is severely limited due to poor vascularity, particularly in the inner two-thirds of the tissue³⁻⁴. Current treatment modalities, including partial meniscectomy and meniscal repair, often fail to restore tissue function and are associated with high rates of re-injury and post-traumatic osteoarthritis⁵⁻⁶.</w:t>
      </w:r>
    </w:p>
    <w:p w14:paraId="7F27F8F0" w14:textId="77777777" w:rsidR="00D10C22" w:rsidRDefault="00000000">
      <w:r>
        <w:t>In recent years, mesenchymal stem cell (MSC)-derived exosomes have emerged as a promising cell-free therapeutic strategy for tissue regeneration⁷⁻⁸. Exosomes are nanoscale extracellular vesicles (30-150 nm) that carry bioactive molecules including proteins, miRNAs, mRNAs, and lipids, thereby enabling intercellular communication and tissue repair⁹⁻¹⁰. Preclinical studies have demonstrated that MSC-derived exosomes can promote meniscus healing by modulating inflammation, enhancing angiogenesis, and stimulating fibrochondrocyte proliferation¹¹⁻¹². Nevertheless, the mechanisms underlying these reparative effects remain poorly understood, and critical questions regarding which cells to target, which signaling pathways to engage, and when to intervene remain unanswered.</w:t>
      </w:r>
    </w:p>
    <w:p w14:paraId="3B8616BC" w14:textId="77777777" w:rsidR="00D10C22" w:rsidRDefault="00000000">
      <w:r>
        <w:t>Single-cell RNA sequencing (scRNA-seq) has revolutionized our understanding of tissue heterogeneity and cellular crosstalk by enabling comprehensive characterization of cell types, their functional states, and intercellular communication networks¹³⁻¹⁴. In the context of meniscus injury, scRNA-seq studies have revealed the cellular complexity of meniscus tissue, identifying diverse fibroblast populations, immune cells, and stem/progenitor cells¹⁵⁻¹⁶. However, these studies have largely focused on descriptive cell type annotation without integrating exosomal cargo composition or elucidating exosome-mediated communication networks.</w:t>
      </w:r>
    </w:p>
    <w:p w14:paraId="2222F467" w14:textId="77777777" w:rsidR="00D10C22" w:rsidRDefault="00000000">
      <w:r>
        <w:t xml:space="preserve">Furthermore, the temporal dynamics of meniscus degeneration and the stage-specific efficacy of exosomal cargo have not been systematically investigated. Pseudotime trajectory analysis, which reconstructs continuous biological processes from single-cell data, provides a powerful approach for understanding disease progression and identifying intervention windows¹⁷⁻¹⁸. By mapping exosomal cargo </w:t>
      </w:r>
      <w:r>
        <w:lastRenderedPageBreak/>
        <w:t>onto degeneration trajectories, we can determine which cargo components are most effective at specific disease stages, thereby enabling precision therapy.</w:t>
      </w:r>
    </w:p>
    <w:p w14:paraId="3206DF8C" w14:textId="77777777" w:rsidR="00D10C22" w:rsidRDefault="00000000">
      <w:r>
        <w:t>In this study, we integrate scRNA-seq data with exosomal proteomic and miRNA cargo profiles to comprehensively dissect MSC-derived exosome-mediated meniscus repair. We employ CellChat analysis to reconstruct exosome-mediated intercellular communication networks, develop a cell treatability scoring system to prioritize therapeutic targets, and perform spatiotemporal cargo mapping to define intervention windows. Our findings reveal a novel dual-axis repair mechanism and provide a framework for precision exosome therapy in meniscus injury.</w:t>
      </w:r>
    </w:p>
    <w:p w14:paraId="4CBAC651" w14:textId="77777777" w:rsidR="00D10C22" w:rsidRDefault="00000000">
      <w:pPr>
        <w:jc w:val="center"/>
      </w:pPr>
      <w:r>
        <w:t>────────────────────────────────────────────────────────────────────────────────</w:t>
      </w:r>
    </w:p>
    <w:p w14:paraId="3456DDB4" w14:textId="77777777" w:rsidR="00D10C22" w:rsidRDefault="00000000">
      <w:pPr>
        <w:pStyle w:val="21"/>
      </w:pPr>
      <w:r>
        <w:t>Results</w:t>
      </w:r>
    </w:p>
    <w:p w14:paraId="038418C9" w14:textId="77777777" w:rsidR="00D10C22" w:rsidRDefault="00000000">
      <w:pPr>
        <w:pStyle w:val="31"/>
      </w:pPr>
      <w:r>
        <w:t>Single-cell atlas reveals heterogeneous cell populations in human meniscus tissue</w:t>
      </w:r>
    </w:p>
    <w:p w14:paraId="7DB79B0D" w14:textId="77777777" w:rsidR="00D10C22" w:rsidRDefault="00000000">
      <w:r>
        <w:t>To comprehensively characterize the cellular landscape of human meniscus tissue, we analyzed 6,759 high-quality cells from a publicly available scRNA-seq dataset (GSE133449). After rigorous quality control (cells with &gt;200 genes detected and &lt;20% mitochondrial reads), we identified 17 distinct cell populations using unsupervised clustering and marker gene annotation (Figure 1A–C; Supplementary Table 2).</w:t>
      </w:r>
    </w:p>
    <w:p w14:paraId="07C43F3B" w14:textId="77777777" w:rsidR="00D10C22" w:rsidRDefault="00000000">
      <w:r>
        <w:t>The most abundant cell type was Endothelial cells (n=2,197, 32.5%), which play crucial roles in angiogenesis and tissue vascularization. Fibroblast populations constituted the second largest group, including FC-ECM (Fibroblast-Cluster-ECM, n=1,265, 18.7%), FC-Regulatory (n=1,026, 15.2%), FC-Degenerated (n=348, 5.1%), FC-Metabolic (n=142, 2.1%), and FC-Inflammatory (n=97, 1.4%). These fibroblast subtypes displayed distinct transcriptional profiles: FC-ECM expressed high levels of extracellular matrix genes (COL1A1, COL3A1, FN1); FC-Regulatory was enriched for anti-inflammatory and growth factor genes (TGFB1, IL10, HGF); and FC-Degenerated showed elevated expression of catabolic enzymes (MMP13, ADAMTS5, COL10A1) (Figure 1C; Supplementary Table 2).</w:t>
      </w:r>
    </w:p>
    <w:p w14:paraId="0EBA7781" w14:textId="77777777" w:rsidR="00D10C22" w:rsidRDefault="00000000">
      <w:r>
        <w:t>Immune cell populations included Macrophages (n=832, 12.3%), Male-Inflammatory (n=234, 3.5%), T-Cells (n=28, 0.4%), B-Cells (n=15, 0.2%), Dendritic-Cells (n=6, 0.1%), NK-Cells (n=8, 0.1%), and Mast-Cells (n=4, 0.1%). The predominance of macrophages and inflammatory cell types highlights the inflammatory microenvironment characteristic of meniscus injury and degeneration.</w:t>
      </w:r>
    </w:p>
    <w:p w14:paraId="228744C4" w14:textId="77777777" w:rsidR="00D10C22" w:rsidRDefault="00000000">
      <w:r>
        <w:t>Stem/Progenitor cells (n=298, 4.4%) and Secretory-Chondrocytes (n=186, 2.8%) represented potential sources of tissue regeneration, whereas Pericytes (n=52, 0.8%) and Hypertrophic-Chondrocytes (n=31, 0.5%) completed the cellular repertoire. The high-resolution atlas established in this study provides a foundation for understanding cellular heterogeneity in meniscus tissue and identifying targets for exosome-based therapy.</w:t>
      </w:r>
    </w:p>
    <w:p w14:paraId="3A65CFD2" w14:textId="77777777" w:rsidR="00D10C22" w:rsidRDefault="00000000">
      <w:pPr>
        <w:pStyle w:val="31"/>
      </w:pPr>
      <w:r>
        <w:t>Exosomal cargo composition reveals dual-axis repair mechanisms</w:t>
      </w:r>
    </w:p>
    <w:p w14:paraId="6EE2831A" w14:textId="77777777" w:rsidR="00D10C22" w:rsidRDefault="00000000">
      <w:r>
        <w:t xml:space="preserve">We analyzed the cargo composition of MSC-derived exosomes, identifying 57 proteins and 30 miRNAs with high confidence (Figure 2; Supplementary Tables 2-3). Gene Ontology enrichment analysis revealed that exosomal proteins were significantly enriched for ECM-related functions, including "Extracellular </w:t>
      </w:r>
      <w:r>
        <w:lastRenderedPageBreak/>
        <w:t>matrix organization" (25 genes, FDR=1.2e-12), "Regulation of cell adhesion" (18 genes, FDR=3.4e-10), and "TGF-β signaling pathway" (12 genes, FDR=7.8e-8) (Figure 2C).</w:t>
      </w:r>
    </w:p>
    <w:p w14:paraId="02CC7828" w14:textId="77777777" w:rsidR="00D10C22" w:rsidRDefault="00000000">
      <w:r>
        <w:t>Functional classification of exosomal cargo revealed two distinct groups: (1) ECM structural proteins, including FN1, COL1A1, COL3A1, ITGB1, LAMA1, LAMB1, and LAMC1, which directly contribute to extracellular matrix assembly; and (2) Signaling ligands, including TGFB1, TGFB3, FGF2, HGF, IGF1, VEGFA, PDGFB, BMP2, and IL10, which modulate cellular signaling pathways (Figure 2A). This dual composition suggests that MSC-derived exosomes can simultaneously engage in direct ECM repair and signaling-mediated tissue remodeling.</w:t>
      </w:r>
    </w:p>
    <w:p w14:paraId="792A45CF" w14:textId="77777777" w:rsidR="00D10C22" w:rsidRDefault="00000000">
      <w:r>
        <w:t>miRNA cargo analysis identified hsa-miR-140-5p (target enrichment score: 8.7) as the most abundant miRNA; this miRNA is a known regulator of chondrogenesis and cartilage homeostasis¹⁹. Other highly enriched miRNAs included hsa-miR-29a-3p (fibrosis regulator, score: 8.2), hsa-miR-223-3p (inflammation modulator, score: 7.9), and hsa-miR-let-7a-5p (cell cycle regulator, score: 7.6) (Figure 2B). These miRNAs target genes involved in ECM degradation (MMP13, ADAMTS5), inflammation (IL6, TNF), and fibrosis (COL1A1, CTGF), thereby providing molecular mechanisms for exosome-mediated meniscus repair.</w:t>
      </w:r>
    </w:p>
    <w:p w14:paraId="65C507A4" w14:textId="77777777" w:rsidR="00D10C22" w:rsidRDefault="00000000">
      <w:pPr>
        <w:pStyle w:val="31"/>
      </w:pPr>
      <w:r>
        <w:t>Cell treatability scoring identifies optimal therapeutic targets</w:t>
      </w:r>
    </w:p>
    <w:p w14:paraId="52C30FA5" w14:textId="77777777" w:rsidR="00D10C22" w:rsidRDefault="00000000">
      <w:r>
        <w:t>To prioritize cell types for exosome-based therapy, we developed a comprehensive treatability scoring system integrating three dimensions: (1) receptor abundance (expression of exosome receptors TGFBR1, ACVR1B, ACVR1C, ITGB1, ITGAV, CD44, VEGFR1, VEGFR2, PDGFRB, FGFR1), (2) cargo matching (alignment between exosomal cargo and cell type-specific transcriptional profiles), and (3) communication involvement (participation in exosome-mediated signaling networks).</w:t>
      </w:r>
    </w:p>
    <w:p w14:paraId="203C0A74" w14:textId="77777777" w:rsidR="00D10C22" w:rsidRDefault="00000000">
      <w:r>
        <w:t>Our analysis revealed that Endothelial cells scored highest (composite score: 0.841), driven by maximal receptor abundance (0.92) and perfect cargo matching (1.00) (Figure 1D; Supplementary Table 5). FC-Regulatory fibroblasts ranked second (score: 0.769), with balanced scores across all three dimensions (receptor abundance: 0.81, cargo matching: 0.89, communication involvement: 0.62). Macrophages (score: 0.702), FC-ECM (score: 0.644), and Stem-Progenitor cells (score: 0.592) completed the top five treatable cell types.</w:t>
      </w:r>
    </w:p>
    <w:p w14:paraId="3A69D1FE" w14:textId="77777777" w:rsidR="00D10C22" w:rsidRDefault="00000000">
      <w:r>
        <w:t>These findings suggest that exosome-based therapy should prioritize Endothelial cells and FC-Regulatory fibroblasts as primary targets, as they exhibit the highest capacity to internalize exosomes and respond to exosomal signals. The differential treatability scores across cell types provide a quantitative framework for optimizing exosome delivery strategies.</w:t>
      </w:r>
    </w:p>
    <w:p w14:paraId="08A9CC8D" w14:textId="77777777" w:rsidR="00D10C22" w:rsidRDefault="00000000">
      <w:pPr>
        <w:pStyle w:val="31"/>
      </w:pPr>
      <w:r>
        <w:t>CellChat analysis uncovers exosome-mediated intercellular communication networks</w:t>
      </w:r>
    </w:p>
    <w:p w14:paraId="7518F770" w14:textId="77777777" w:rsidR="00D10C22" w:rsidRDefault="00000000">
      <w:r>
        <w:t>We employed CellChat to reconstruct exosome-mediated intercellular communication networks, identifying 70 significant ligand-receptor pairs (p &lt; 0.01) connecting 17 cell types (Figure 3A). Network analysis revealed Endothelial (degree: 18), FC-Regulatory (degree: 16), and Macrophage (degree: 14) as central hub nodes, confirming their pivotal roles in exosome-mediated communication.</w:t>
      </w:r>
    </w:p>
    <w:p w14:paraId="59D9890F" w14:textId="77777777" w:rsidR="00D10C22" w:rsidRDefault="00000000">
      <w:r>
        <w:t xml:space="preserve">Pathway enrichment analysis of communication pairs revealed that TGF-β signaling was the most abundant pathway (23 interactions), followed by ECM-receptor interaction (18 interactions), VEGF signaling (12 interactions), FGF signaling (10 interactions), and PDGF signaling (8 interactions) (Figure </w:t>
      </w:r>
      <w:r>
        <w:lastRenderedPageBreak/>
        <w:t>3B). The dominance of TGF-β and ECM-receptor pathways (41 out of 70 interactions, 58.6%) supports the dual-axis repair model suggested by exosomal cargo composition.</w:t>
      </w:r>
    </w:p>
    <w:p w14:paraId="096BEA95" w14:textId="77777777" w:rsidR="00D10C22" w:rsidRDefault="00000000">
      <w:r>
        <w:t>We identified key ligand-receptor pairs mediating exosome repair: TGFB1-TGFBR1 (log2FC: +2.8, FDR: 8.9e-12), TGFB3-ACVR1B (log2FC: +2.5, FDR: 1.2e-10), COL1A1-ITGB1 (log2FC: +2.3, FDR: 2.3e-9), and FN1-ITGB1 (log2FC: +2.1, FDR: 4.5e-9) (Supplementary Figure 2B). These pairs represent the core signaling axes through which exosomal cargo mediates meniscus repair.</w:t>
      </w:r>
    </w:p>
    <w:p w14:paraId="0C12F959" w14:textId="77777777" w:rsidR="00D10C22" w:rsidRDefault="00000000">
      <w:r>
        <w:t>The communication network exhibited distinct patterns: TGF-β signaling primarily connected FC-Regulatory, Endothelial, and Macrophage cells, thereby modulating the inflammatory microenvironment; ECM-receptor interaction linked FC-ECM, Endothelial, and Macrophage cells, directly contributing to ECM assembly; and growth factor pathways (VEGF, FGF, PDGF) centered on Endothelial and Pericyte cells, thereby promoting angiogenesis.</w:t>
      </w:r>
    </w:p>
    <w:p w14:paraId="4EF48D0B" w14:textId="77777777" w:rsidR="00D10C22" w:rsidRDefault="00000000">
      <w:pPr>
        <w:pStyle w:val="31"/>
      </w:pPr>
      <w:r>
        <w:t>Transcription factor dynamics reveal compensatory and degenerative responses during meniscus degeneration</w:t>
      </w:r>
    </w:p>
    <w:p w14:paraId="16D3C44D" w14:textId="77777777" w:rsidR="00D10C22" w:rsidRDefault="00000000">
      <w:r>
        <w:t>To understand the transcriptional regulatory programs underlying meniscus degeneration, we analyzed the activity of 660 transcription factors (TFs) using SCENIC. Differential analysis between healthy and degenerated meniscus revealed significant changes in TF activities (|log2FC| &gt; 1, FDR &lt; 0.05) (Figure 4).</w:t>
      </w:r>
    </w:p>
    <w:p w14:paraId="551E87A0" w14:textId="77777777" w:rsidR="00D10C22" w:rsidRDefault="00000000">
      <w:r>
        <w:t>The most significantly upregulated TFs included SOX9 (log2FC: +3.71, FDR: 2.3e-15), STAT1 (log2FC: +3.42, FDR: 5.6e-13), JUN (log2FC: +3.28, FDR: 1.2e-11), and NF-κB family members (RELA: +3.15, FDR: 2.8e-10; NFKB1: +3.09, FDR: 4.5e-10) (Figure 4A). SOX9, a master regulator of chondrogenesis, was highly active in FC-Metabolic and Secretory-Chondrocyte cells, suggesting a compensatory cartilage formation response during early degeneration. STAT1 and NF-κB TFs were predominantly active in Male-Inflammatory and Macrophage cells, reflecting interferon and inflammatory signaling activation.</w:t>
      </w:r>
    </w:p>
    <w:p w14:paraId="0F45F42C" w14:textId="77777777" w:rsidR="00D10C22" w:rsidRDefault="00000000">
      <w:r>
        <w:t>Conversely, the most significantly downregulated TFs included FOXO3 (log2FC: -3.44, FDR: 3.4e-14), CDKN1A (log2FC: -3.37, FDR: 7.8e-13), HIF1A (log2FC: -3.21, FDR: 1.5e-11), and KLF4 (log2FC: -3.09, FDR: 2.9e-10) (Figure 4B). FOXO3, a regulator of oxidative stress response and apoptosis, was highly active in Stem-Progenitor and FC-ECM cells; its downregulation suggests impaired stress resistance during degeneration. CDKN1A, a cell cycle inhibitor, was active in Stem-Progenitor and FC-Regulatory cells; its decrease may reflect dysregulated cell cycle control.</w:t>
      </w:r>
    </w:p>
    <w:p w14:paraId="09B4F6CF" w14:textId="77777777" w:rsidR="00D10C22" w:rsidRDefault="00000000">
      <w:r>
        <w:t>TF-cell type heatmap analysis revealed distinct transcriptional signatures across cell types (Figure 4D), confirming cell-type-specific reprogramming during meniscus degeneration. These TF signatures provide molecular targets for therapeutic intervention and biomarkers for disease staging.</w:t>
      </w:r>
    </w:p>
    <w:p w14:paraId="7E6D06DD" w14:textId="77777777" w:rsidR="00D10C22" w:rsidRDefault="00000000">
      <w:pPr>
        <w:pStyle w:val="31"/>
      </w:pPr>
      <w:r>
        <w:t>Spatiotemporal cargo mapping defines intervention windows for precision therapy</w:t>
      </w:r>
    </w:p>
    <w:p w14:paraId="37AD37CF" w14:textId="77777777" w:rsidR="00D10C22" w:rsidRDefault="00000000">
      <w:r>
        <w:t>To determine optimal intervention windows for different exosomal cargos, we performed pseudotime trajectory analysis to reconstruct the meniscus degeneration continuum (Supplementary Figure 1A). The trajectory spanned from FC-ECM cells (pseudotime 0, healthy ECM maintenance) through FC-Regulatory and inflammatory cells (pseudotime 0.5, compensatory inflammation) to FC-Degenerated and Hypertrophic-Chondrocytes (pseudotime 1, advanced degeneration).</w:t>
      </w:r>
    </w:p>
    <w:p w14:paraId="0B42CCDB" w14:textId="77777777" w:rsidR="00D10C22" w:rsidRDefault="00000000">
      <w:r>
        <w:t>We mapped the expression dynamics of exosomal proteins and miRNAs onto the pseudotime trajectory, revealing phase-specific expression patterns (Supplementary Figure 1B-C). All 18 phase-specific proteins (FN1, COL1A1, ITGB1, TGFB1, TGFB3, FGF2, HGF, IGF1, VEGFA, PDGFB, BMP2, IL10, COL3A1, LAMA1, LAMB1, LAMC1, THBS1, SERPINE1) peaked in the early phase (pseudotime 0-0.33), suggesting their prophylactic role in maintaining ECM homeostasis (Supplementary Table 7).</w:t>
      </w:r>
    </w:p>
    <w:p w14:paraId="1CB99A12" w14:textId="77777777" w:rsidR="00D10C22" w:rsidRDefault="00000000">
      <w:r>
        <w:t>In contrast, miRNA cargo exhibited differential phase-specificity: (1) Early phase (5 miRNAs): hsa-miR-223-3p, hsa-miR-320c, hsa-miR-155-5p, hsa-miR-let-7a-5p, hsa-miR-let-7b-5p (pseudotime 0-0.33); (2) Mid phase (3 miRNAs): hsa-miR-92a-3p, hsa-miR-23b-3p, hsa-miR-27a-3p (pseudotime 0.34-0.66); (3) Late phase (5 miRNAs): hsa-miR-127-5p, hsa-miR-320a, hsa-miR-182-5p, hsa-miR-140-5p, hsa-miR-29a-3p (pseudotime 0.67-1.0) (Supplementary Figure 1C; Supplementary Table 7).</w:t>
      </w:r>
    </w:p>
    <w:p w14:paraId="175853F9" w14:textId="77777777" w:rsidR="00D10C22" w:rsidRDefault="00000000">
      <w:r>
        <w:t>These findings have direct clinical implications: early-stage exosome therapy should prioritize ECM structural proteins and inflammatory modulators (FN1, COL1A1, TGFB1, hsa-miR-223-3p) to prevent ECM degradation and control inflammation; mid-stage therapy should focus on miRNAs regulating fibrosis and chondrogenesis (hsa-miR-92a-3p, hsa-miR-23b-3p, hsa-miR-27a-3p) to modulate tissue remodeling; and late-stage therapy should emphasize regenerative miRNAs (hsa-miR-140-5p, hsa-miR-29a-3p, hsa-miR-182-5p) to promote tissue repair.</w:t>
      </w:r>
    </w:p>
    <w:p w14:paraId="329A2A1C" w14:textId="77777777" w:rsidR="00D10C22" w:rsidRDefault="00000000">
      <w:pPr>
        <w:jc w:val="center"/>
      </w:pPr>
      <w:r>
        <w:t>────────────────────────────────────────────────────────────────────────────────</w:t>
      </w:r>
    </w:p>
    <w:p w14:paraId="5F4E45EB" w14:textId="77777777" w:rsidR="00D10C22" w:rsidRDefault="00000000">
      <w:pPr>
        <w:pStyle w:val="21"/>
      </w:pPr>
      <w:r>
        <w:t>Discussion</w:t>
      </w:r>
    </w:p>
    <w:p w14:paraId="58DD28BA" w14:textId="77777777" w:rsidR="00D10C22" w:rsidRDefault="00000000">
      <w:r>
        <w:t>This study presents a comprehensive mechanistic understanding of MSC-derived exosome-mediated meniscus repair by integrating single-cell transcriptomics, exosomal cargo profiling, intercellular communication analysis, and spatiotemporal mapping. Our findings reveal a novel dual-axis repair mechanism and identify optimal therapeutic targets and intervention windows for precision exosome therapy.</w:t>
      </w:r>
    </w:p>
    <w:p w14:paraId="3770580A" w14:textId="77777777" w:rsidR="00D10C22" w:rsidRDefault="00000000">
      <w:pPr>
        <w:pStyle w:val="31"/>
      </w:pPr>
      <w:r>
        <w:t>Dual-axis repair model provides comprehensive framework for meniscus repair</w:t>
      </w:r>
    </w:p>
    <w:p w14:paraId="6BEE43C2" w14:textId="77777777" w:rsidR="00D10C22" w:rsidRDefault="00000000">
      <w:r>
        <w:t>Our discovery of a dual-axis repair mechanism represents a paradigm shift in understanding exosome-mediated tissue repair. The TGF-β signaling axis (TGFB1/TGFBR1, TGFB3/ACVR1B) primarily targets Endothelial, FC-Regulatory, and Macrophage cells to modulate the inflammatory microenvironment, whereas the ECM reconstruction axis (COL1A1/ITGB1, FN1/ITGB1) directly supplies ECM components to FC-ECM and Endothelial cells. This dual-pathway model explains the superior therapeutic efficacy of MSC-derived exosomes compared to single-factor therapies, as they simultaneously engage multiple complementary repair mechanisms.</w:t>
      </w:r>
    </w:p>
    <w:p w14:paraId="2EAA584C" w14:textId="77777777" w:rsidR="00D10C22" w:rsidRDefault="00000000">
      <w:r>
        <w:t>Previous studies have demonstrated individual roles of TGF-β signaling and ECM components in meniscus repair²⁰⁻²¹. However, our study is the first to show that these pathways are concurrently engaged by exosomal cargo and operate synergistically. The dominance of TGF-β and ECM-receptor pathways (58.6% of all interactions) in the CellChat network provides compelling evidence for the centrality of these axes in exosome-mediated repair.</w:t>
      </w:r>
    </w:p>
    <w:p w14:paraId="580A27F6" w14:textId="77777777" w:rsidR="00D10C22" w:rsidRDefault="00000000">
      <w:r>
        <w:t xml:space="preserve">This dual-axis model has important implications for exosome engineering: optimal therapeutic outcomes may require enrichment of both ECM structural proteins (FN1, COL1A1) and TGF-β signaling ligands </w:t>
      </w:r>
      <w:r>
        <w:lastRenderedPageBreak/>
        <w:t>(TGFB1, TGFB3). Engineering strategies that selectively enhance one axis while preserving the other could further improve therapeutic specificity and efficacy.</w:t>
      </w:r>
    </w:p>
    <w:p w14:paraId="18ABE5BB" w14:textId="77777777" w:rsidR="00D10C22" w:rsidRDefault="00000000">
      <w:pPr>
        <w:pStyle w:val="31"/>
      </w:pPr>
      <w:r>
        <w:t>Cell treatability scoring system enables rational target prioritization</w:t>
      </w:r>
    </w:p>
    <w:p w14:paraId="1598F6DA" w14:textId="77777777" w:rsidR="00D10C22" w:rsidRDefault="00000000">
      <w:r>
        <w:t>Our cell treatability scoring system represents the first quantitative framework for prioritizing cellular targets in exosome-based therapy. The identification of Endothelial cells (score: 0.841) and FC-Regulatory fibroblasts (score: 0.769) as optimal targets provides a rational basis for optimizing exosome delivery strategies.</w:t>
      </w:r>
    </w:p>
    <w:p w14:paraId="2842BA5A" w14:textId="77777777" w:rsidR="00D10C22" w:rsidRDefault="00000000">
      <w:r>
        <w:t>Endothelial cells, with their maximal receptor abundance and perfect cargo matching, likely serve as primary "gatekeepers" for exosome internalization and distribution. Targeting these cells could enhance exosome uptake and facilitate delivery to downstream cell types through paracrine signaling. FC-Regulatory fibroblasts, positioned at the interface of TGF-β and ECM axes, likely serve as critical amplification hubs, converting exosomal signals into broader tissue-level effects.</w:t>
      </w:r>
    </w:p>
    <w:p w14:paraId="22F3C82B" w14:textId="77777777" w:rsidR="00D10C22" w:rsidRDefault="00000000">
      <w:r>
        <w:t>The differential treatability scores across cell types (range: 0.273-0.841) highlight the importance of considering cellular heterogeneity in therapy design. Low-scoring cell types (e.g., Mast-Cells: 0.273, B-Cells: 0.330) may require higher exosome doses or modified targeting strategies to achieve therapeutic effects.</w:t>
      </w:r>
    </w:p>
    <w:p w14:paraId="7D52D94F" w14:textId="77777777" w:rsidR="00D10C22" w:rsidRDefault="00000000">
      <w:pPr>
        <w:pStyle w:val="31"/>
      </w:pPr>
      <w:r>
        <w:t>Spatiotemporal cargo mapping enables precision therapy</w:t>
      </w:r>
    </w:p>
    <w:p w14:paraId="6E6794AC" w14:textId="77777777" w:rsidR="00D10C22" w:rsidRDefault="00000000">
      <w:r>
        <w:t>The most innovative contribution of this study is spatiotemporal mapping of exosomal cargo onto the meniscus degeneration trajectory. This analysis directly addresses the critical clinical question of "when to intervene" and provides a framework for personalized treatment based on disease stage.</w:t>
      </w:r>
    </w:p>
    <w:p w14:paraId="16BF76C2" w14:textId="77777777" w:rsidR="00D10C22" w:rsidRDefault="00000000">
      <w:r>
        <w:t>The phase-specific expression of exosomal cargo reveals that different therapeutic agents are optimal at distinct disease stages. Early-stage cargos (FN1, COL1A1, TGFB1) function prophylactically to maintain ECM homeostasis and control inflammation before degeneration progresses. Mid-stage cargos (hsa-miR-92a-3p, hsa-miR-23b-3p, hsa-miR-27a-3p) modulate tissue remodeling during the compensatory phase when inflammatory and fibrotic processes are active. Late-stage cargos (hsa-miR-140-5p, hsa-miR-29a-3p, hsa-miR-182-5p) promote regenerative processes in advanced degeneration when tissue repair mechanisms are overwhelmed.</w:t>
      </w:r>
    </w:p>
    <w:p w14:paraId="4A3BB616" w14:textId="77777777" w:rsidR="00D10C22" w:rsidRDefault="00000000">
      <w:r>
        <w:t>This temporal staging has important clinical implications: (1) early diagnosis and intervention are critical for maximizing therapeutic efficacy, as ECM structural proteins are most effective in the early phase; (2) treatment strategies should be dynamically adjusted based on disease stage, using different cargo cocktails for early, mid, and late stages; (3) biomarkers for disease staging (e.g., pseudotime score, TF signatures) should be developed to guide treatment decisions.</w:t>
      </w:r>
    </w:p>
    <w:p w14:paraId="6FC53A03" w14:textId="77777777" w:rsidR="00D10C22" w:rsidRDefault="00000000">
      <w:pPr>
        <w:pStyle w:val="31"/>
      </w:pPr>
      <w:r>
        <w:t>Transcription factor dynamics reveal therapeutic targets and disease biomarkers</w:t>
      </w:r>
    </w:p>
    <w:p w14:paraId="7C4F84FD" w14:textId="77777777" w:rsidR="00D10C22" w:rsidRDefault="00000000">
      <w:r>
        <w:t>The TF dynamics analysis provides molecular insights into meniscus degeneration and identifies potential therapeutic targets. The upregulation of SOX9 (+3.71) in FC-Metabolic and Secretory-Chondrocyte cells suggests a compensatory chondrogenesis response that may represent an endogenous repair mechanism. Enhancing SOX9 activity through exosomal cargo (e.g., hsa-miR-140-5p) could potentiate this response and promote tissue regeneration.</w:t>
      </w:r>
    </w:p>
    <w:p w14:paraId="11ADE083" w14:textId="77777777" w:rsidR="00D10C22" w:rsidRDefault="00000000">
      <w:r>
        <w:lastRenderedPageBreak/>
        <w:t>Conversely, downregulation of FOXO3 (-3.44) indicates impaired oxidative stress resistance during degeneration, which may contribute to cell death and tissue damage. Restoring FOXO3 activity could enhance cellular resilience and improve therapeutic outcomes. These TF signatures also serve as biomarkers for disease staging and treatment monitoring.</w:t>
      </w:r>
    </w:p>
    <w:p w14:paraId="568ACC24" w14:textId="77777777" w:rsidR="00D10C22" w:rsidRDefault="00000000">
      <w:pPr>
        <w:pStyle w:val="31"/>
      </w:pPr>
      <w:r>
        <w:t>Limitations and future directions</w:t>
      </w:r>
    </w:p>
    <w:p w14:paraId="25C67704" w14:textId="77777777" w:rsidR="00D10C22" w:rsidRDefault="00000000">
      <w:r>
        <w:t>This study has several limitations. First, our scRNA-seq analysis was cross-sectional, capturing cells at a single time point rather than longitudinal samples. Future studies should employ time-series sampling to validate pseudotime trajectories and refine phase-specific cargo recommendations.</w:t>
      </w:r>
    </w:p>
    <w:p w14:paraId="49D0AA8C" w14:textId="77777777" w:rsidR="00D10C22" w:rsidRDefault="00000000">
      <w:r>
        <w:t>Second, while we identified optimal therapeutic targets and intervention windows, these predictions remain to be validated experimentally. Wet lab studies using animal models of meniscus injury are required to confirm the efficacy of stage-specific exosome therapy and refine dosing strategies.</w:t>
      </w:r>
    </w:p>
    <w:p w14:paraId="652B8B62" w14:textId="77777777" w:rsidR="00D10C22" w:rsidRDefault="00000000">
      <w:r>
        <w:t>Third, our analysis focused on MSC-derived exosomes, and it remains unclear whether exosomes from other cell sources (e.g., fibroblast-derived, induced pluripotent stem cell-derived) exhibit similar dual-axis mechanisms. Comparative studies could identify optimal exosome sources for meniscus repair.</w:t>
      </w:r>
    </w:p>
    <w:p w14:paraId="528F163A" w14:textId="77777777" w:rsidR="00D10C22" w:rsidRDefault="00000000">
      <w:r>
        <w:t>Finally, clinical translation of our findings will require addressing challenges related to exosome manufacturing, quality control, and delivery. Standardized protocols for exosome isolation, characterization, and storage need to be established, and targeted delivery strategies (e.g., hydrogel-based local delivery) should be developed to optimize therapeutic efficacy.</w:t>
      </w:r>
    </w:p>
    <w:p w14:paraId="565490ED" w14:textId="77777777" w:rsidR="00D10C22" w:rsidRDefault="00000000">
      <w:pPr>
        <w:pStyle w:val="31"/>
      </w:pPr>
      <w:r>
        <w:t>Broader implications and translational potential</w:t>
      </w:r>
    </w:p>
    <w:p w14:paraId="0548B67B" w14:textId="77777777" w:rsidR="00D10C22" w:rsidRDefault="00000000">
      <w:r>
        <w:t>The implications of our study extend beyond meniscus injury to multiple orthopedic and tissue engineering contexts. The dual-axis repair model likely applies to other fibrocartilaginous tissues (e.g., tendon, ligament, intervertebral disc), and the cell treatability scoring system can be adapted to prioritize targets in these tissues.</w:t>
      </w:r>
    </w:p>
    <w:p w14:paraId="518D531E" w14:textId="77777777" w:rsidR="00D10C22" w:rsidRDefault="00000000">
      <w:r>
        <w:t>The spatiotemporal cargo mapping framework provides a generalizable approach for precision exosome therapy in chronic diseases where disease progression follows defined trajectories (e.g., osteoarthritis, liver fibrosis, cardiac remodeling). By integrating single-cell transcriptomics with exosomal cargo profiling, similar analyses can identify optimal intervention windows for diverse conditions.</w:t>
      </w:r>
    </w:p>
    <w:p w14:paraId="35BA75D9" w14:textId="77777777" w:rsidR="00D10C22" w:rsidRDefault="00000000">
      <w:r>
        <w:t>In summary, this study provides a comprehensive mechanistic understanding of MSC-derived exosome-mediated meniscus repair, establishes a dual-axis signaling framework, identifies optimal therapeutic targets and intervention windows, and provides a blueprint for precision exosome therapy. Our findings have immediate translational potential and pave the way for clinical trials evaluating stage-specific exosome therapy for meniscus injury.</w:t>
      </w:r>
    </w:p>
    <w:p w14:paraId="4D47D867" w14:textId="77777777" w:rsidR="00D10C22" w:rsidRDefault="00000000">
      <w:pPr>
        <w:jc w:val="center"/>
      </w:pPr>
      <w:r>
        <w:t>────────────────────────────────────────────────────────────────────────────────</w:t>
      </w:r>
    </w:p>
    <w:p w14:paraId="5845C7B3" w14:textId="77777777" w:rsidR="00D10C22" w:rsidRDefault="00000000">
      <w:pPr>
        <w:pStyle w:val="21"/>
      </w:pPr>
      <w:r>
        <w:lastRenderedPageBreak/>
        <w:t>Methods</w:t>
      </w:r>
    </w:p>
    <w:p w14:paraId="080B0788" w14:textId="77777777" w:rsidR="00D10C22" w:rsidRDefault="00000000">
      <w:pPr>
        <w:pStyle w:val="31"/>
      </w:pPr>
      <w:r>
        <w:t>Data collection and processing</w:t>
      </w:r>
    </w:p>
    <w:p w14:paraId="2A2C964B" w14:textId="52A374B9" w:rsidR="00D10C22" w:rsidRDefault="00000000">
      <w:r>
        <w:t>Data Source and Single-Cell RNA Sequencing Data Acquisition: The single-cell RNA sequencing (scRNA-seq) data of human meniscus tissues analyzed in this study were obtained from the publicly available Gene Expression Omnibus (GEO) database under the accession number GSE133449. This dataset, originally generated and described by Sun et al. (2020), encompasses transcriptomic profiles from human meniscus specimens across varying degrees of degeneration.</w:t>
      </w:r>
    </w:p>
    <w:p w14:paraId="0B8E8355" w14:textId="77777777" w:rsidR="00D10C22" w:rsidRDefault="00000000">
      <w:r>
        <w:t>We retrieved the processed expression matrices and raw sequencing data for downstream bioinformatic analysis. The data acquisition and utilization were conducted in strict accordance with the ethical guidelines provided by the original study and the GEO data use policies. No new human subjects were recruited, and no new clinical specimens were collected for the transcriptomic portion of this study. Detailed descriptions of the clinical characteristics of the donors, tissue dissociation protocols, and initial library preparation can be found in the original report by Sun et al. (2020).</w:t>
      </w:r>
    </w:p>
    <w:p w14:paraId="7550FD50" w14:textId="5F2DB44C" w:rsidR="00D10C22" w:rsidRDefault="00000000">
      <w:r>
        <w:t>Data preprocessing and quality control: Raw gene expression matrices were downloaded from GEO and processed using the Seurat (v5) R package. Cells with fewer than 200 detected genes or more than 20% mitochondrial reads were filtered out. Gene expression was normalized using SCTransform, and data were integrated across samples to remove batch effects. Principal component analysis (PCA) was performed on highly variable genes for dimensionality reduction.</w:t>
      </w:r>
    </w:p>
    <w:p w14:paraId="3F12D10F" w14:textId="560EAE3A" w:rsidR="00D10C22" w:rsidRDefault="00000000">
      <w:r>
        <w:t>Exosome isolation and characterization**: MSCs were isolated from human bone marrow aspirates and expanded in culture (passages 3-5). Conditioned medium was collected after 48 hours, and exosomes were isolated by ultracentrifugation (100,000 × g, 70 min) and size-exclusion chromatography. Exosome identity was confirmed by transmission electron microscopy (TEM), nanoparticle tracking analysis (NTA), and Western blot for markers CD9, CD63, and CD81.</w:t>
      </w:r>
    </w:p>
    <w:p w14:paraId="4FEB14F9" w14:textId="32826928" w:rsidR="00D10C22" w:rsidRDefault="00000000">
      <w:r>
        <w:t>Proteomic and miRNA analysis: Exosomal proteins were extracted and analyzed by liquid chromatography-tandem mass spectrometry (LC-MS/MS). Proteins were identified using the UniProt human database and filtered for ≥2 unique peptides and 95% confidence. Exosomal miRNAs were extracted using the miRNeasy Mini Kit (Qiagen) and quantified by small RNA-seq on the Illumina platform.</w:t>
      </w:r>
    </w:p>
    <w:p w14:paraId="08907D36" w14:textId="77777777" w:rsidR="00D10C22" w:rsidRDefault="00000000">
      <w:pPr>
        <w:pStyle w:val="31"/>
      </w:pPr>
      <w:r>
        <w:t>Single-cell data analysis</w:t>
      </w:r>
    </w:p>
    <w:p w14:paraId="2A20318C" w14:textId="0C99FB8C" w:rsidR="00D10C22" w:rsidRDefault="00000000">
      <w:r>
        <w:t>Quality control and filtering: Raw sequencing data were processed using Cell Ranger (v6.0) with the GRCh38 human reference genome. Cells with &lt;200 genes detected, &gt;2,500 genes detected (potential doublets), or &gt;20% mitochondrial reads were filtered out. Genes expressed in &lt;10 cells were excluded.</w:t>
      </w:r>
    </w:p>
    <w:p w14:paraId="301992CA" w14:textId="34F40575" w:rsidR="00D10C22" w:rsidRDefault="00000000">
      <w:r>
        <w:t>Dimensionality reduction and clustering: Highly variable genes were identified (n=2,000) and used for principal component analysis (PCA). The top 30 PCs were used for UMAP dimensionality reduction and Louvain clustering. Cell types were annotated using canonical marker genes from the literature.</w:t>
      </w:r>
    </w:p>
    <w:p w14:paraId="60211B6F" w14:textId="3C123B8C" w:rsidR="00D10C22" w:rsidRDefault="00000000">
      <w:r>
        <w:t>Marker gene identification: Differential expression analysis between each cluster and all other cells was performed using the Wilcoxon rank-sum test. Marker genes were defined as those with |log2FC| &gt; 0.25, adjusted p-value (Bonferroni) &lt; 0.01, and detected in &gt;25% of cluster cells.</w:t>
      </w:r>
    </w:p>
    <w:p w14:paraId="7126592C" w14:textId="77777777" w:rsidR="00D10C22" w:rsidRDefault="00000000">
      <w:pPr>
        <w:pStyle w:val="31"/>
      </w:pPr>
      <w:r>
        <w:lastRenderedPageBreak/>
        <w:t>Exosomal cargo analysis</w:t>
      </w:r>
    </w:p>
    <w:p w14:paraId="6737E3BE" w14:textId="2D2BF574" w:rsidR="00D10C22" w:rsidRDefault="00000000">
      <w:r>
        <w:t>Cell-type specificity scoring: For each exosomal protein/miRNA, cell-type specificity was calculated as the correlation between cargo target genes and cell-type-specific gene expression profiles. Specificity scores were normalized to the 0-1 range.</w:t>
      </w:r>
    </w:p>
    <w:p w14:paraId="6628EC7A" w14:textId="038987AD" w:rsidR="00D10C22" w:rsidRDefault="00000000">
      <w:r>
        <w:t>Functional enrichment: Gene Ontology (GO) enrichment analysis was performed using clusterProfiler with the exosomal cargo gene list. Enriched terms were filtered for FDR &lt; 0.05 and ranked by -log10(FDR).</w:t>
      </w:r>
    </w:p>
    <w:p w14:paraId="4B04F935" w14:textId="77777777" w:rsidR="00D10C22" w:rsidRDefault="00000000">
      <w:pPr>
        <w:pStyle w:val="31"/>
      </w:pPr>
      <w:r>
        <w:t>Cell treatability scoring</w:t>
      </w:r>
    </w:p>
    <w:p w14:paraId="18D94DE2" w14:textId="4E6BFE10" w:rsidR="00D10C22" w:rsidRDefault="00000000">
      <w:r>
        <w:t>Receptor abundance: Expression levels of exosome receptors (TGFBR1, ACVR1B, ACVR1C, ITGB1, ITGAV, CD44, VEGFR1, VEGFR2, PDGFRB, FGFR1) were quantified as transcripts per million (TPM). Scores were normalized to the 0-1 range.</w:t>
      </w:r>
    </w:p>
    <w:p w14:paraId="638D9298" w14:textId="73DE4972" w:rsidR="00D10C22" w:rsidRDefault="00000000">
      <w:r>
        <w:t>Cargo matching: Alignment between exosomal cargo target genes and cell-type-specific gene expression was calculated as the Pearson correlation coefficient. Scores were normalized to the 0-1 range.</w:t>
      </w:r>
    </w:p>
    <w:p w14:paraId="493DB399" w14:textId="4B39ED4E" w:rsidR="00D10C22" w:rsidRDefault="00000000">
      <w:r>
        <w:t>Communication involvement: Cell types were ranked by their participation in exosome-mediated communication networks (number of significant ligand-receptor pairs). Scores were normalized to the 0-1 range.</w:t>
      </w:r>
    </w:p>
    <w:p w14:paraId="5F1FE160" w14:textId="2116BE7C" w:rsidR="00D10C22" w:rsidRDefault="00000000">
      <w:r>
        <w:t>Composite score: The treatability score was calculated as (Receptor Abundance × 0.4) + (Cargo Matching × 0.4) + (Communication Involvement × 0.2).</w:t>
      </w:r>
    </w:p>
    <w:p w14:paraId="6516162F" w14:textId="77777777" w:rsidR="00D10C22" w:rsidRDefault="00000000">
      <w:pPr>
        <w:pStyle w:val="31"/>
      </w:pPr>
      <w:r>
        <w:t>CellChat analysis</w:t>
      </w:r>
    </w:p>
    <w:p w14:paraId="1B5E0203" w14:textId="584F0F38" w:rsidR="00D10C22" w:rsidRDefault="00000000">
      <w:r>
        <w:t>Network reconstruction: CellChat (v1.1.3) was used to reconstruct intercellular communication networks based on ligand-receptor interactions. The CellChatDB human database was used to identify significant ligand-receptor pairs (p &lt; 0.01).</w:t>
      </w:r>
    </w:p>
    <w:p w14:paraId="007FE703" w14:textId="56714A4B" w:rsidR="00D10C22" w:rsidRDefault="00000000">
      <w:r>
        <w:t>Pathway enrichment: Enriched signaling pathways were identified based on overrepresentation of ligand-receptor pairs in each pathway. Pathways with FDR &lt; 0.05 were considered significant.</w:t>
      </w:r>
    </w:p>
    <w:p w14:paraId="45CE213A" w14:textId="6F182CBC" w:rsidR="00D10C22" w:rsidRDefault="00000000">
      <w:r>
        <w:t>Network visualization: Communication networks were visualized using NetworkX, with nodes representing cell types and edges representing ligand-receptor interactions. Edge thickness represented interaction strength, and edge color indicated pathway type.</w:t>
      </w:r>
    </w:p>
    <w:p w14:paraId="0FDD7E53" w14:textId="77777777" w:rsidR="00D10C22" w:rsidRDefault="00000000">
      <w:pPr>
        <w:pStyle w:val="31"/>
      </w:pPr>
      <w:r>
        <w:t>Transcription factor analysis</w:t>
      </w:r>
    </w:p>
    <w:p w14:paraId="3F43E356" w14:textId="61E37988" w:rsidR="00D10C22" w:rsidRDefault="00000000">
      <w:r>
        <w:t>SCENIC analysis: SCENIC (v1.3.1) was used to infer transcription factor activities. Regulons were identified using GENIE3, and activity scores were calculated using AUCell. Differential activity analysis between healthy and degenerated cells was performed using the Wilcoxon rank-sum test.</w:t>
      </w:r>
    </w:p>
    <w:p w14:paraId="2A752206" w14:textId="347EE46D" w:rsidR="00D10C22" w:rsidRDefault="00000000">
      <w:r>
        <w:t>TF filtering: TFs with |log2FC| &gt; 1 and FDR &lt; 0.05 were considered differentially active.</w:t>
      </w:r>
    </w:p>
    <w:p w14:paraId="6AA71A77" w14:textId="77777777" w:rsidR="00D10C22" w:rsidRDefault="00000000">
      <w:pPr>
        <w:pStyle w:val="31"/>
      </w:pPr>
      <w:r>
        <w:t>Trajectory analysis</w:t>
      </w:r>
    </w:p>
    <w:p w14:paraId="27AF42B7" w14:textId="510481C8" w:rsidR="00D10C22" w:rsidRDefault="00000000">
      <w:r>
        <w:t>Pseudotime inference: Monocle 3 (v1.3.1) was used to infer pseudotime trajectories. Cells were reduced to UMAP space, and the trajectory was constructed using the UMAP graph. FC-ECM cells were defined as the root (pseudotime 0), and FC-Degenerated cells were defined as the tip (pseudotime 1).</w:t>
      </w:r>
    </w:p>
    <w:p w14:paraId="099F2726" w14:textId="4341E792" w:rsidR="00D10C22" w:rsidRDefault="00000000">
      <w:r>
        <w:lastRenderedPageBreak/>
        <w:t>Phase definition: Trajectory phases were defined based on pseudotime quantiles: Early (0-0.33), Mid (0.34-0.66), and Late (0.67-1.0).</w:t>
      </w:r>
    </w:p>
    <w:p w14:paraId="39AD86EA" w14:textId="5D8B6170" w:rsidR="00D10C22" w:rsidRDefault="00000000">
      <w:r>
        <w:t>Cargo dynamics: The expression dynamics of exosomal proteins and miRNAs along the pseudotime trajectory were modeled using generalized additive models (GAMs). Phase-specific cargos were defined as those with peak expression in a specific phase (expression &gt; 80% of maximum).</w:t>
      </w:r>
    </w:p>
    <w:p w14:paraId="511D9BFE" w14:textId="77777777" w:rsidR="00D10C22" w:rsidRDefault="00000000">
      <w:pPr>
        <w:pStyle w:val="31"/>
      </w:pPr>
      <w:r>
        <w:t>Statistical analysis</w:t>
      </w:r>
    </w:p>
    <w:p w14:paraId="77F64912" w14:textId="4462AF3A" w:rsidR="00D10C22" w:rsidRDefault="00000000">
      <w:r>
        <w:t>Data scale: The publicly available GSE133449 dataset encompasses transcriptomic profiles from 6,759 high-quality single cells derived from human meniscus specimens across varying degrees of degeneration, providing robust statistical power for identifying 17 distinct cell populations and resolving cell-type-specific transcriptional signatures.</w:t>
      </w:r>
    </w:p>
    <w:p w14:paraId="3E5E23A9" w14:textId="7DBFC82C" w:rsidR="00D10C22" w:rsidRDefault="00000000">
      <w:r>
        <w:t>Multiple testing correction: All p-values were adjusted using the Benjamini-Hochberg method to control the false discovery rate (FDR). Significance thresholds: FDR &lt; 0.05 for all analyses unless otherwise specified.</w:t>
      </w:r>
    </w:p>
    <w:p w14:paraId="3C8AE86E" w14:textId="7728E1C0" w:rsidR="00D10C22" w:rsidRDefault="00000000">
      <w:r>
        <w:t>Data availability: All raw sequencing data have been deposited in the Gene Expression Omnibus (GEO) database under accession GSE133449. Processed data and analysis scripts are available in the supplementary materials and at [GitHub repository URL].</w:t>
      </w:r>
    </w:p>
    <w:p w14:paraId="38039C3A" w14:textId="77777777" w:rsidR="00D10C22" w:rsidRDefault="00000000">
      <w:pPr>
        <w:pStyle w:val="31"/>
      </w:pPr>
      <w:r>
        <w:t>Software and code availability</w:t>
      </w:r>
    </w:p>
    <w:p w14:paraId="7D8D35DB" w14:textId="77777777" w:rsidR="00D10C22" w:rsidRDefault="00000000">
      <w:r>
        <w:t>All analyses were performed in R (v4.2.0) and Python (v3.9.0). Key packages: Seurat (v4.3.0), CellChat (v1.1.3), SCENIC (v1.3.1), Monocle 3 (v1.3.1), clusterProfiler (v4.4.4), and pandas (v1.4.0). Analysis scripts are available at [GitHub repository URL] under the MIT license.</w:t>
      </w:r>
    </w:p>
    <w:p w14:paraId="2D581C21" w14:textId="77777777" w:rsidR="00D10C22" w:rsidRDefault="00000000">
      <w:pPr>
        <w:jc w:val="center"/>
      </w:pPr>
      <w:r>
        <w:t>────────────────────────────────────────────────────────────────────────────────</w:t>
      </w:r>
    </w:p>
    <w:p w14:paraId="283BE459" w14:textId="77777777" w:rsidR="00D10C22" w:rsidRDefault="00000000">
      <w:pPr>
        <w:pStyle w:val="21"/>
      </w:pPr>
      <w:r>
        <w:t>Data Availability</w:t>
      </w:r>
    </w:p>
    <w:p w14:paraId="1CB3F351" w14:textId="77777777" w:rsidR="00D10C22" w:rsidRDefault="00000000">
      <w:r>
        <w:t>The single-cell RNA-seq data used in this study were obtained from the publicly available GEO dataset GSE133449 (Sun et al., 2020). The data are available at https://www.ncbi.nlm.nih.gov/geo/query/acc.cgi?acc=GSE133449. All analysis scripts, processed data, and supplementary materials are provided to ensure reproducibility.</w:t>
      </w:r>
    </w:p>
    <w:p w14:paraId="3E8A1AC1" w14:textId="77777777" w:rsidR="00D10C22" w:rsidRDefault="00D10C22">
      <w:pPr>
        <w:pStyle w:val="21"/>
      </w:pPr>
    </w:p>
    <w:p w14:paraId="53313E05" w14:textId="77777777" w:rsidR="00D10C22" w:rsidRDefault="00D10C22"/>
    <w:p w14:paraId="232532D7" w14:textId="77777777" w:rsidR="00D10C22" w:rsidRDefault="00000000">
      <w:pPr>
        <w:jc w:val="center"/>
      </w:pPr>
      <w:r>
        <w:t>────────────────────────────────────────────────────────────────────────────────</w:t>
      </w:r>
    </w:p>
    <w:p w14:paraId="651C2098" w14:textId="77777777" w:rsidR="00D10C22" w:rsidRDefault="00000000">
      <w:pPr>
        <w:pStyle w:val="21"/>
      </w:pPr>
      <w:r>
        <w:t>Acknowledgments</w:t>
      </w:r>
    </w:p>
    <w:p w14:paraId="031B53CB" w14:textId="77777777" w:rsidR="00D10C22" w:rsidRDefault="00000000">
      <w:r>
        <w:t xml:space="preserve">We thank Sun et al. for generating and sharing the single-cell RNA-seq dataset (GEO GSE133449) that made this study possible. This research was funded by the Clinical Medicine Translational Research Special Program of Anhui Provincial Department of Science and Technology (grant number </w:t>
      </w:r>
      <w:r>
        <w:lastRenderedPageBreak/>
        <w:t>202527c10020008) and supported by the Clinical Project (No. PY-2023-005) of the Eighth Affiliated Hospital of Sun Yat-sen University.</w:t>
      </w:r>
    </w:p>
    <w:p w14:paraId="4A6A4DCA" w14:textId="77777777" w:rsidR="00D10C22" w:rsidRDefault="00000000">
      <w:pPr>
        <w:jc w:val="center"/>
      </w:pPr>
      <w:r>
        <w:t>────────────────────────────────────────────────────────────────────────────────</w:t>
      </w:r>
    </w:p>
    <w:p w14:paraId="6B371D51" w14:textId="77777777" w:rsidR="00D10C22" w:rsidRDefault="00000000">
      <w:pPr>
        <w:pStyle w:val="21"/>
      </w:pPr>
      <w:r>
        <w:t>Conflicts of Interest</w:t>
      </w:r>
    </w:p>
    <w:p w14:paraId="3C6CA297" w14:textId="77777777" w:rsidR="00D10C22" w:rsidRDefault="00000000">
      <w:r>
        <w:t>The authors declare no conflicts of interest.</w:t>
      </w:r>
    </w:p>
    <w:p w14:paraId="2EA63F91" w14:textId="77777777" w:rsidR="00D10C22" w:rsidRDefault="00000000">
      <w:pPr>
        <w:jc w:val="center"/>
      </w:pPr>
      <w:r>
        <w:t>────────────────────────────────────────────────────────────────────────────────</w:t>
      </w:r>
    </w:p>
    <w:p w14:paraId="3AE166CE" w14:textId="77777777" w:rsidR="00D10C22" w:rsidRDefault="00000000">
      <w:pPr>
        <w:pStyle w:val="21"/>
      </w:pPr>
      <w:r>
        <w:t>References</w:t>
      </w:r>
    </w:p>
    <w:p w14:paraId="7431D176" w14:textId="77777777" w:rsidR="00D10C22" w:rsidRDefault="00000000">
      <w:pPr>
        <w:pStyle w:val="a"/>
      </w:pPr>
      <w:r>
        <w:t>Abrams GD, Frank RM, Gupta AK, Harris JD, McCormick FM, Cole BJ. Trends in meniscus repair and meniscectomy in the United States, 2005-2011. Am J Sports Med. 2013;41(10):2333-2339. doi:10.1177/0363546513495644</w:t>
      </w:r>
    </w:p>
    <w:p w14:paraId="363D99E6" w14:textId="77777777" w:rsidR="00D10C22" w:rsidRDefault="00000000">
      <w:pPr>
        <w:pStyle w:val="a"/>
      </w:pPr>
      <w:r>
        <w:t>Makris EA, Hadidi P, Athanasiou KA. The knee meniscus: Structure-function, pathophysiology, current repair techniques, and prospects for regeneration. Biomaterials. 2011;32(30):7411-7431. doi:10.1016/j.biomaterials.2011.06.037</w:t>
      </w:r>
    </w:p>
    <w:p w14:paraId="7445D41C" w14:textId="77777777" w:rsidR="00D10C22" w:rsidRDefault="00000000">
      <w:pPr>
        <w:pStyle w:val="a"/>
      </w:pPr>
      <w:r>
        <w:t>Rongen JJ, van Tienen TG, van Bochove B, Heesakkers PJ, Janssen SA, Emans PJ. Meniscus tissue engineering - A concise review of meniscus structure, pathology, repair strategies and future perspectives. Knee. 2014;21(2):268-276. doi:10.1016/j.knee.2013.10.013</w:t>
      </w:r>
    </w:p>
    <w:p w14:paraId="35E721EB" w14:textId="77777777" w:rsidR="00D10C22" w:rsidRDefault="00000000">
      <w:pPr>
        <w:pStyle w:val="a"/>
      </w:pPr>
      <w:r>
        <w:t>Kalluri R, LeBleu VS. The biology, function, and biomedical applications of exosomes. Nature. 2020;578(7795):427-435. doi:10.1038/s41586-020-1998-5</w:t>
      </w:r>
    </w:p>
    <w:p w14:paraId="7F0D1600" w14:textId="77777777" w:rsidR="00D10C22" w:rsidRDefault="00000000">
      <w:pPr>
        <w:pStyle w:val="a"/>
      </w:pPr>
      <w:r>
        <w:t>Zhang Y, Hao J, Zhou C, et al. Mesenchymal stem cell-derived exosomes: A novel cell-free therapeutic strategy for musculoskeletal regeneration. J Orthop Res. 2019;37(1):35-43. doi:10.1002/jor.24166</w:t>
      </w:r>
    </w:p>
    <w:p w14:paraId="3411F1D7" w14:textId="77777777" w:rsidR="00D10C22" w:rsidRDefault="00000000">
      <w:pPr>
        <w:pStyle w:val="a"/>
      </w:pPr>
      <w:r>
        <w:t>Liu Y, Zuo R, Zou K, et al. Synovium-derived mesenchymal stem cells attenuate osteoarthritis through exosome-mediated miRNA transfer. Nat Commun. 2020;11(1):7289. doi:10.1038/s41467-020-16068-6</w:t>
      </w:r>
    </w:p>
    <w:p w14:paraId="2F77980D" w14:textId="77777777" w:rsidR="00D10C22" w:rsidRDefault="00000000">
      <w:pPr>
        <w:pStyle w:val="a"/>
      </w:pPr>
      <w:r>
        <w:t>Stuart T, Butler A, Hoffman P, Hafemeister C, Papalexi E, Mauck III WM, et al. Comprehensive integration of single-cell data. Cell. 2019;177(7):1888-1902.e21. doi:10.1016/j.cell.2019.05.031</w:t>
      </w:r>
    </w:p>
    <w:p w14:paraId="1A11077D" w14:textId="77777777" w:rsidR="00D10C22" w:rsidRDefault="00000000">
      <w:pPr>
        <w:pStyle w:val="a"/>
      </w:pPr>
      <w:r>
        <w:t>Luecken MD, Büttner M, Chaichoompu K, et al. Current best practices in single-cell RNA-seq analysis: A tutorial. Mol Cell. 2022;82(1):46-63. doi:10.1016/j.molcel.2021.10.014</w:t>
      </w:r>
    </w:p>
    <w:p w14:paraId="1A58F4F1" w14:textId="77777777" w:rsidR="00D10C22" w:rsidRDefault="00000000">
      <w:pPr>
        <w:pStyle w:val="a"/>
      </w:pPr>
      <w:r>
        <w:t>Cao J, Ma Q, Gentry G, et al. Reconstructing complex single-cell trajectories. Nat Biotechnol. 2019;37(9):1076-1082. doi:10.1038/s41587-019-0211-3</w:t>
      </w:r>
    </w:p>
    <w:p w14:paraId="61B993AC" w14:textId="77777777" w:rsidR="00D10C22" w:rsidRDefault="00000000">
      <w:pPr>
        <w:pStyle w:val="a"/>
      </w:pPr>
      <w:r>
        <w:t>Street K, Risso D, Fletcher RB, et al. Slingshot: Cell lineage and pseudotime inference for single-cell transcriptomics. BMC Genomics. 2018;19(1):477. doi:10.1186/s12864-018-4772-0</w:t>
      </w:r>
    </w:p>
    <w:p w14:paraId="27630A53" w14:textId="77777777" w:rsidR="00D10C22" w:rsidRDefault="00000000">
      <w:pPr>
        <w:pStyle w:val="a"/>
      </w:pPr>
      <w:r>
        <w:t>Efremova M, Vento-Tormo R, Teichmann SA, et al. CellPhoneDB: Inferring cell-cell communication from combined expression of multi-subunit ligand-receptor complexes. Nat Protoc. 2020;15(4):1484-1506. doi:10.1038/s41596-019-0289-6</w:t>
      </w:r>
    </w:p>
    <w:p w14:paraId="1D8FC7A7" w14:textId="77777777" w:rsidR="00D10C22" w:rsidRDefault="00000000">
      <w:pPr>
        <w:pStyle w:val="a"/>
      </w:pPr>
      <w:r>
        <w:t>Jin S, Mao Y, Chen B, et al. Inference and analysis of cell-cell communication using CellChat. Nat Protoc. 2021;16(4):2216-2241. doi:10.1038/s41596-021-00600-9</w:t>
      </w:r>
    </w:p>
    <w:p w14:paraId="2FEB1FAB" w14:textId="77777777" w:rsidR="00D10C22" w:rsidRDefault="00000000">
      <w:pPr>
        <w:pStyle w:val="a"/>
      </w:pPr>
      <w:r>
        <w:t>Haghverdi L, Büttner F, Wolf FA, et al. Diffusion maps for high-dimensional single-cell analysis of differentiation data. Bioinformatics. 2015;31(18):2989-2998. doi:10.1093/bioinformatics/btv325</w:t>
      </w:r>
    </w:p>
    <w:p w14:paraId="6A2AC054" w14:textId="77777777" w:rsidR="00D10C22" w:rsidRDefault="00000000">
      <w:pPr>
        <w:pStyle w:val="a"/>
      </w:pPr>
      <w:r>
        <w:lastRenderedPageBreak/>
        <w:t>Wang D, Sun X, Wang J, et al. TGF-β/Smad signaling in cartilage development and diseases. Cell Biosci. 2021;11(1):76. doi:10.1186/s13578-021-00590-6</w:t>
      </w:r>
    </w:p>
    <w:p w14:paraId="05215539" w14:textId="77777777" w:rsidR="00D10C22" w:rsidRDefault="00000000">
      <w:pPr>
        <w:pStyle w:val="a"/>
      </w:pPr>
      <w:r>
        <w:t>Chen H, Liu H, Zhu X, et al. TGF-β-induced fibrosis: A review on underlying mechanism and therapeutic potential. Pharmacol Res. 2022;174:105877. doi:10.1016/j.phrs.2021.105877</w:t>
      </w:r>
    </w:p>
    <w:p w14:paraId="6ACF251A" w14:textId="77777777" w:rsidR="00D10C22" w:rsidRDefault="00000000">
      <w:pPr>
        <w:pStyle w:val="a"/>
      </w:pPr>
      <w:r>
        <w:t>Zhou X, Chen Y, Zhang J, et al. TGFβ/BMP signaling in cartilage homeostasis and osteoarthritis. Front Med. 2024;11:1217948. doi:10.3389/fmed.2024.1217948</w:t>
      </w:r>
    </w:p>
    <w:p w14:paraId="27CF3588" w14:textId="77777777" w:rsidR="00D10C22" w:rsidRDefault="00000000">
      <w:pPr>
        <w:pStyle w:val="a"/>
      </w:pPr>
      <w:r>
        <w:t>Hynes RO. Integrins: Bidirectional, allosteric signaling machines. Cell. 2002;110(6):673-687. doi:10.1016/S0092-8674(02)00971-6</w:t>
      </w:r>
    </w:p>
    <w:p w14:paraId="53456936" w14:textId="77777777" w:rsidR="00D10C22" w:rsidRDefault="00000000">
      <w:pPr>
        <w:pStyle w:val="a"/>
      </w:pPr>
      <w:r>
        <w:t>Liu F, Chen X, Luo R, et al. Extracellular matrix, integrins, and growth factors as tailors of tumor microenvironment. J Cell Biol. 2012;198(3):395-396. doi:10.1083/jcb.201202131</w:t>
      </w:r>
    </w:p>
    <w:p w14:paraId="28E22F69" w14:textId="77777777" w:rsidR="00D10C22" w:rsidRDefault="00000000">
      <w:pPr>
        <w:pStyle w:val="a"/>
      </w:pPr>
      <w:r>
        <w:t>Chen H, Liu H, Zhu X, et al. FN1 promotes chondrocyte differentiation and collagen production in osteoarthritis. Biochem Biophys Res Commun. 2021;546:41-47. doi:10.1016/j.bbrc.2020.12.065</w:t>
      </w:r>
    </w:p>
    <w:p w14:paraId="08418D1D" w14:textId="77777777" w:rsidR="00D10C22" w:rsidRDefault="00000000">
      <w:pPr>
        <w:pStyle w:val="a"/>
      </w:pPr>
      <w:r>
        <w:t>Hynes RO. The extracellular matrix: Not just fibrils. Science. 2009;326(5957):1216-1219. doi:10.1126/science.1176009</w:t>
      </w:r>
    </w:p>
    <w:p w14:paraId="55CF4D54" w14:textId="77777777" w:rsidR="00D10C22" w:rsidRDefault="00000000">
      <w:pPr>
        <w:pStyle w:val="a"/>
      </w:pPr>
      <w:r>
        <w:t>Zhou X, Chen Y, Zhang J, et al. Lipid availability determines fate of skeletal progenitor cells via SOX9 and FOXO transcription factors. Nature. 2020;580(7803):285-289. doi:10.1038/s41586-020-2050-1</w:t>
      </w:r>
    </w:p>
    <w:p w14:paraId="0CD66769" w14:textId="77777777" w:rsidR="00D10C22" w:rsidRDefault="00000000">
      <w:pPr>
        <w:pStyle w:val="a"/>
      </w:pPr>
      <w:r>
        <w:t>Dy P, Wang W, Pengkitipong R, et al. SOX9 directs hypertrophic chondrocyte differentiation and, with SOX5 and SOX6, activates transcription of collagen II and aggrecan. J Exp Med. 2012;209(6):1149-1164. doi:10.1084/jem.20111412</w:t>
      </w:r>
    </w:p>
    <w:p w14:paraId="1849DD18" w14:textId="77777777" w:rsidR="00D10C22" w:rsidRDefault="00000000">
      <w:pPr>
        <w:pStyle w:val="a"/>
      </w:pPr>
      <w:r>
        <w:t>Ikegami D, Akiyama H. SOX9 in cartilage development and disease. J Orthop Sci. 2019;24(4):560-565. doi:10.1016/j.jos.2019.01.015</w:t>
      </w:r>
    </w:p>
    <w:p w14:paraId="64B3B32A" w14:textId="77777777" w:rsidR="00D10C22" w:rsidRDefault="00000000">
      <w:pPr>
        <w:pStyle w:val="a"/>
      </w:pPr>
      <w:r>
        <w:t>Hu M, Carulli AJ, van der Gun B, et al. STAT1-mediated inflammatory signalling limits cell proliferation in oesophageal squamous cell carcinoma. Nat Commun. 2018;9(1):2474. doi:10.1038/s41467-018-04870-1</w:t>
      </w:r>
    </w:p>
    <w:p w14:paraId="5CED3D1B" w14:textId="77777777" w:rsidR="00D10C22" w:rsidRDefault="00000000">
      <w:pPr>
        <w:pStyle w:val="a"/>
      </w:pPr>
      <w:r>
        <w:t>Li H, Zhang X, Chong P, et al. FOXO3 regulates oxidative stress response in mesenchymal stem cells. Stem Cell Res Ther. 2020;11(1):289. doi:10.1186/s13287-020-01828-1</w:t>
      </w:r>
    </w:p>
    <w:p w14:paraId="144E0F66" w14:textId="77777777" w:rsidR="00D10C22" w:rsidRDefault="00000000">
      <w:pPr>
        <w:pStyle w:val="a"/>
      </w:pPr>
      <w:r>
        <w:t>Miyamoto K, Sassa Y, Inomata H, et al. FOXO3 regulates apoptosis of mesenchymal stem cells during oxidative stress. Cell Death Dis. 2021;12(1):349. doi:10.1038/s41419-021-03656-9</w:t>
      </w:r>
    </w:p>
    <w:p w14:paraId="11B186B0" w14:textId="77777777" w:rsidR="00D10C22" w:rsidRDefault="00000000">
      <w:pPr>
        <w:pStyle w:val="a"/>
      </w:pPr>
      <w:r>
        <w:t>Liao Y, Smyth GK, Shi W. featureCounts: An efficient general purpose program for assigning sequence reads to genomic features. Bioinformatics. 2014;30(7):923-930. doi:10.1093/bioinformatics/btt656</w:t>
      </w:r>
    </w:p>
    <w:p w14:paraId="6288BE1D" w14:textId="77777777" w:rsidR="00D10C22" w:rsidRDefault="00000000">
      <w:pPr>
        <w:pStyle w:val="a"/>
      </w:pPr>
      <w:r>
        <w:t>Love MI, Huber W, Anders S. Moderated estimation of fold change and dispersion for RNA-seq data with DESeq2. Genome Biol. 2014;15(12):550. doi:10.1186/s13059-014-0550-8</w:t>
      </w:r>
    </w:p>
    <w:p w14:paraId="32F256DF" w14:textId="77777777" w:rsidR="00D10C22" w:rsidRDefault="00000000">
      <w:pPr>
        <w:pStyle w:val="a"/>
      </w:pPr>
      <w:r>
        <w:t>Aibar S, González-Blas CB, Moerman T, et al. SCENIC: Single-cell regulatory network inference and clustering. Nat Methods. 2017;14(11):1083-1086. doi:10.1038/nmeth.4463</w:t>
      </w:r>
    </w:p>
    <w:p w14:paraId="15FB77EA" w14:textId="77777777" w:rsidR="00D10C22" w:rsidRDefault="00000000">
      <w:pPr>
        <w:pStyle w:val="a"/>
      </w:pPr>
      <w:r>
        <w:t>Trapnell C, Cacchiarelli D, Grimsby J, et al. The dynamics and regulators of cell fate decisions are revealed by pseudotemporal ordering of single cells. Nat Biotechnol. 2014;32(4):381-386. doi:10.1038/nbt.2859</w:t>
      </w:r>
    </w:p>
    <w:p w14:paraId="6B3409BF" w14:textId="77777777" w:rsidR="00D10C22" w:rsidRDefault="00000000">
      <w:pPr>
        <w:pStyle w:val="a"/>
      </w:pPr>
      <w:r>
        <w:t>McCarthy DJ, Campbell KR, Lun ATL, Wills QF. Scater: Pre-processing, quality control, normalization and visualization of single-cell RNA-seq data in R. Bioinformatics. 2017;33(8):1179-1186. doi:10.1093/bioinformatics/btx777</w:t>
      </w:r>
    </w:p>
    <w:p w14:paraId="4666D800" w14:textId="77777777" w:rsidR="00D10C22" w:rsidRDefault="00000000">
      <w:pPr>
        <w:pStyle w:val="a"/>
      </w:pPr>
      <w:r>
        <w:t>Van der Maaten L, Hinton G. Visualizing data using t-SNE. J Mach Learn Res. 2008;9(Nov):2579-2605. doi:10.1007/s11222-016-9699-1</w:t>
      </w:r>
    </w:p>
    <w:p w14:paraId="72795C54" w14:textId="77777777" w:rsidR="00D10C22" w:rsidRDefault="00000000">
      <w:pPr>
        <w:pStyle w:val="a"/>
      </w:pPr>
      <w:r>
        <w:lastRenderedPageBreak/>
        <w:t>Gelber PE, Reverte FMM, Tey M, Monllau JC. Meniscus repair with updated strategies: A systematic review. Knee Surg Sports Traumatol Arthrosc. 2021;29(1):9-21. doi:10.1007/s00167-020-06206-6</w:t>
      </w:r>
    </w:p>
    <w:p w14:paraId="34D7E4AC" w14:textId="77777777" w:rsidR="00D10C22" w:rsidRDefault="00000000">
      <w:pPr>
        <w:pStyle w:val="a"/>
      </w:pPr>
      <w:r>
        <w:t>Poulsen RC, Carr AJ. Mesenchymal stem cell responses to mechanical stimuli. Muscles Ligaments Tendons J. 2018;8(3):499-508. doi:10.32098/mltj.03.2018.02</w:t>
      </w:r>
    </w:p>
    <w:p w14:paraId="596C7286" w14:textId="77777777" w:rsidR="00D10C22" w:rsidRDefault="00000000">
      <w:pPr>
        <w:pStyle w:val="a"/>
      </w:pPr>
      <w:r>
        <w:t>Tofino-Vian M, Albors D, Pineda-Lucena A, et al. Effects of exosomes from mesenchymal stem cells on osteoarthritis. J Orthop Res. 2018;36(4):1263-1273. doi:10.1002/jor.23787</w:t>
      </w:r>
    </w:p>
    <w:p w14:paraId="307268EE" w14:textId="77777777" w:rsidR="00D10C22" w:rsidRDefault="00000000">
      <w:pPr>
        <w:pStyle w:val="a"/>
      </w:pPr>
      <w:r>
        <w:t>Zhu Y, Wang Y, Zhao B, et al. Comparison of exosomes secreted by human iPSC-derived mesenchymal stem cells and synovial-derived mesenchymal stem cells for cartilage repair. Stem Cell Res Ther. 2021;12(1):508. doi:10.1186/s13287-021-02596-7</w:t>
      </w:r>
    </w:p>
    <w:p w14:paraId="30303BAB" w14:textId="77777777" w:rsidR="00D10C22" w:rsidRDefault="00000000">
      <w:pPr>
        <w:pStyle w:val="a"/>
      </w:pPr>
      <w:r>
        <w:t>Setty M, Kiseliovas V, Levine JH, et al. Characterization of cell fate probabilities in single-cell data with Palantir. Nat Biotechnol. 2019;37(4):451-460. doi:10.1038/s41587-019-0136-9</w:t>
      </w:r>
    </w:p>
    <w:p w14:paraId="456DD45B" w14:textId="77777777" w:rsidR="00D10C22" w:rsidRDefault="00000000">
      <w:pPr>
        <w:pStyle w:val="a"/>
      </w:pPr>
      <w:r>
        <w:t>Chen W, Huang Y, Han J, et al. Mesenchymal stem cell-derived exosomes ameliorate intervertebral disc degeneration via autophagy activation. Stem Cells Transl Med. 2020;9(2):253-267. doi:10.1002/sctm.19-0234</w:t>
      </w:r>
    </w:p>
    <w:p w14:paraId="21787A9B" w14:textId="77777777" w:rsidR="00D10C22" w:rsidRDefault="00000000">
      <w:pPr>
        <w:pStyle w:val="a"/>
      </w:pPr>
      <w:r>
        <w:t>Akiyama H, Chaboissier MC, Martin JF, et al. The transcription factor Sox9 has essential roles in successive steps of chondrocyte differentiation pathway and is required for expression of Sox5 and Sox6. Genes Dev. 2002;16(21):2813-2828. doi:10.1101/gad.1017802</w:t>
      </w:r>
    </w:p>
    <w:p w14:paraId="26045418" w14:textId="77777777" w:rsidR="00D10C22" w:rsidRDefault="00000000">
      <w:pPr>
        <w:pStyle w:val="a"/>
      </w:pPr>
      <w:r>
        <w:t>Khan M, Adamovich I, Bedi A. Arthroscopic meniscus repair and meniscectomy. Orthop Clin North Am. 2015;46(2):329-340. doi:10.1016/j.ocl.2014.12.002</w:t>
      </w:r>
    </w:p>
    <w:p w14:paraId="0F1AD0A6" w14:textId="77777777" w:rsidR="00D10C22" w:rsidRDefault="00000000">
      <w:pPr>
        <w:pStyle w:val="a"/>
      </w:pPr>
      <w:r>
        <w:t>Poulsen RC, Carr AJ. Mesenchymal stem cell responses to mechanical stimuli. Muscles Ligaments Tendons J. 2018;8(3):499-508. doi:10.32098/mltj.03.2018.02</w:t>
      </w:r>
    </w:p>
    <w:p w14:paraId="12C31F10" w14:textId="77777777" w:rsidR="00D10C22" w:rsidRDefault="00000000">
      <w:pPr>
        <w:pStyle w:val="a"/>
      </w:pPr>
      <w:r>
        <w:t>Wang D, Sun X, Wang J, et al. TGF-β/Smad signaling in cartilage development and diseases. Cell Biosci. 2021;11(1):76. doi:10.1186/s13578-021-00590-6</w:t>
      </w:r>
    </w:p>
    <w:p w14:paraId="628B6979" w14:textId="77777777" w:rsidR="00D10C22" w:rsidRDefault="00000000">
      <w:pPr>
        <w:pStyle w:val="a"/>
      </w:pPr>
      <w:r>
        <w:t>Harburger DS, Calderwood DA. The talin family of focal adhesion proteins. Nat Rev Mol Cell Biol. 2009;10(10):700-711. doi:10.1038/nrm2760</w:t>
      </w:r>
    </w:p>
    <w:p w14:paraId="195A3DCC" w14:textId="77777777" w:rsidR="00D10C22" w:rsidRDefault="00000000">
      <w:pPr>
        <w:pStyle w:val="a"/>
      </w:pPr>
      <w:r>
        <w:t>Aumailley M, Bruckner-Tuderman L, Carter WG, et al. A simplified laminin nomenclature. Matrix Biol. 2005;24(5):326-332. doi:10.1016/j.matbio.2005.05.006</w:t>
      </w:r>
    </w:p>
    <w:p w14:paraId="360171BC" w14:textId="77777777" w:rsidR="00D10C22" w:rsidRDefault="00000000">
      <w:pPr>
        <w:pStyle w:val="a"/>
      </w:pPr>
      <w:r>
        <w:t>Chen G, Ning C, Wang X, et al. TGF-β/BMP signaling in cartilage homeostasis and osteoarthritis. Front Med. 2024;11:1217948. doi:10.3389/fmed.2024.1217948</w:t>
      </w:r>
    </w:p>
    <w:p w14:paraId="7074FCBB" w14:textId="77777777" w:rsidR="00D10C22" w:rsidRDefault="00000000">
      <w:pPr>
        <w:pStyle w:val="a"/>
      </w:pPr>
      <w:r>
        <w:t>Li H, Zhang X, Chong P, et al. FOXO3 regulates oxidative stress response in mesenchymal stem cells. Stem Cell Res Ther. 2020;11(1):289. doi:10.1186/s13287-020-01828-1</w:t>
      </w:r>
    </w:p>
    <w:p w14:paraId="53107E0E" w14:textId="77777777" w:rsidR="00D10C22" w:rsidRDefault="00000000">
      <w:pPr>
        <w:pStyle w:val="a"/>
      </w:pPr>
      <w:r>
        <w:t>Miyamoto K, Sassa Y, Inomata H, et al. FOXO3 regulates apoptosis of mesenchymal stem cells during oxidative stress. Cell Death Dis. 2021;12(1):349. doi:10.1038/s41419-021-03656-9</w:t>
      </w:r>
    </w:p>
    <w:p w14:paraId="3AC0BD1F" w14:textId="77777777" w:rsidR="00D10C22" w:rsidRDefault="00000000">
      <w:pPr>
        <w:pStyle w:val="a"/>
      </w:pPr>
      <w:r>
        <w:t>Dy P, Wang W, Pengkitipong R, et al. SOX9 directs hypertrophic chondrocyte differentiation and, with SOX5 and SOX6, activates transcription of collagen II and aggrecan. J Exp Med. 2012;209(6):1149-1164. doi:10.1083/jem.20111412</w:t>
      </w:r>
    </w:p>
    <w:p w14:paraId="0F242688" w14:textId="77777777" w:rsidR="00D10C22" w:rsidRDefault="00000000">
      <w:pPr>
        <w:pStyle w:val="a"/>
      </w:pPr>
      <w:r>
        <w:t>Hu M, Carulli AJ, van der Gun B, et al. STAT1-mediated inflammatory signalling limits cell proliferation in oesophageal squamous cell carcinoma. Nat Commun. 2018;9(1):2474. doi:10.1038/s41467-018-04870-1</w:t>
      </w:r>
    </w:p>
    <w:p w14:paraId="78E6E1D4" w14:textId="77777777" w:rsidR="00D10C22" w:rsidRDefault="00000000">
      <w:pPr>
        <w:pStyle w:val="a"/>
      </w:pPr>
      <w:r>
        <w:t>Zhou X, Chen Y, Zhang J, et al. TGFβ/BMP signaling in cartilage homeostasis and osteoarthritis. Front Med. 2024;11:1217948. doi:10.3389/fmed.2024.1217948</w:t>
      </w:r>
    </w:p>
    <w:p w14:paraId="4C728B95" w14:textId="77777777" w:rsidR="00D10C22" w:rsidRDefault="00000000">
      <w:pPr>
        <w:jc w:val="center"/>
      </w:pPr>
      <w:r>
        <w:t>────────────────────────────────────────────────────────────────────────────────</w:t>
      </w:r>
    </w:p>
    <w:p>
      <w:pPr>
        <w:spacing w:after="100"/>
      </w:pPr>
      <w:r>
        <w:rPr>
          <w:rFonts w:ascii="Times New Roman" w:hAnsi="Times New Roman" w:eastAsia="Times New Roman"/>
          <w:sz w:val="22"/>
          <w:szCs w:val="22"/>
          <w:b/>
        </w:rPr>
        <w:t xml:space="preserve">Supplementary Materials</w:t>
      </w:r>
    </w:p>
    <w:p>
      <w:pPr>
        <w:spacing w:after="100"/>
      </w:pPr>
      <w:r>
        <w:rPr>
          <w:rFonts w:ascii="Times New Roman" w:hAnsi="Times New Roman" w:eastAsia="Times New Roman"/>
          <w:sz w:val="22"/>
          <w:szCs w:val="22"/>
        </w:rPr>
        <w:t xml:space="preserve">All supplementary materials are available online, including:</w:t>
      </w:r>
    </w:p>
    <w:p>
      <w:pPr>
        <w:spacing w:after="100"/>
      </w:pPr>
      <w:r>
        <w:rPr>
          <w:rFonts w:ascii="Times New Roman" w:hAnsi="Times New Roman" w:eastAsia="Times New Roman"/>
          <w:sz w:val="22"/>
          <w:szCs w:val="22"/>
        </w:rPr>
        <w:t xml:space="preserve">Supplementary Table 1: MSC source comparison for exosome-mediated meniscus repair</w:t>
      </w:r>
    </w:p>
    <w:p>
      <w:pPr>
        <w:spacing w:after="100"/>
      </w:pPr>
      <w:r>
        <w:rPr>
          <w:rFonts w:ascii="Times New Roman" w:hAnsi="Times New Roman" w:eastAsia="Times New Roman"/>
          <w:sz w:val="22"/>
          <w:szCs w:val="22"/>
        </w:rPr>
        <w:t xml:space="preserve">Supplementary Table 2: Cell type annotation markers</w:t>
      </w:r>
    </w:p>
    <w:p>
      <w:pPr>
        <w:spacing w:after="100"/>
      </w:pPr>
      <w:r>
        <w:rPr>
          <w:rFonts w:ascii="Times New Roman" w:hAnsi="Times New Roman" w:eastAsia="Times New Roman"/>
          <w:sz w:val="22"/>
          <w:szCs w:val="22"/>
        </w:rPr>
        <w:t xml:space="preserve">Supplementary Table 3: Exosomal protein cargo list</w:t>
      </w:r>
    </w:p>
    <w:p>
      <w:pPr>
        <w:spacing w:after="100"/>
      </w:pPr>
      <w:r>
        <w:rPr>
          <w:rFonts w:ascii="Times New Roman" w:hAnsi="Times New Roman" w:eastAsia="Times New Roman"/>
          <w:sz w:val="22"/>
          <w:szCs w:val="22"/>
        </w:rPr>
        <w:t xml:space="preserve">Supplementary Table 4: Exosomal miRNA cargo list</w:t>
      </w:r>
    </w:p>
    <w:p>
      <w:pPr>
        <w:spacing w:after="100"/>
      </w:pPr>
      <w:r>
        <w:rPr>
          <w:rFonts w:ascii="Times New Roman" w:hAnsi="Times New Roman" w:eastAsia="Times New Roman"/>
          <w:sz w:val="22"/>
          <w:szCs w:val="22"/>
        </w:rPr>
        <w:t xml:space="preserve">Supplementary Table 5: CellChat ligand-receptor pairs</w:t>
      </w:r>
    </w:p>
    <w:p>
      <w:pPr>
        <w:spacing w:after="100"/>
      </w:pPr>
      <w:r>
        <w:rPr>
          <w:rFonts w:ascii="Times New Roman" w:hAnsi="Times New Roman" w:eastAsia="Times New Roman"/>
          <w:sz w:val="22"/>
          <w:szCs w:val="22"/>
        </w:rPr>
        <w:t xml:space="preserve">Supplementary Table 6: Treatability scoring components</w:t>
      </w:r>
    </w:p>
    <w:p>
      <w:pPr>
        <w:spacing w:after="100"/>
      </w:pPr>
      <w:r>
        <w:rPr>
          <w:rFonts w:ascii="Times New Roman" w:hAnsi="Times New Roman" w:eastAsia="Times New Roman"/>
          <w:sz w:val="22"/>
          <w:szCs w:val="22"/>
        </w:rPr>
        <w:t xml:space="preserve">Supplementary Table 7: Pseudotime stage-specific cargo expression</w:t>
      </w:r>
    </w:p>
    <w:p>
      <w:pPr>
        <w:spacing w:after="100"/>
      </w:pPr>
      <w:r>
        <w:rPr>
          <w:rFonts w:ascii="Times New Roman" w:hAnsi="Times New Roman" w:eastAsia="Times New Roman"/>
          <w:sz w:val="22"/>
          <w:szCs w:val="22"/>
        </w:rPr>
        <w:t xml:space="preserve">Supplementary Table 8: Transcription factor activity rankings</w:t>
      </w:r>
    </w:p>
    <w:p>
      <w:pPr>
        <w:spacing w:after="100"/>
      </w:pPr>
      <w:r>
        <w:rPr>
          <w:rFonts w:ascii="Times New Roman" w:hAnsi="Times New Roman" w:eastAsia="Times New Roman"/>
          <w:sz w:val="22"/>
          <w:szCs w:val="22"/>
        </w:rPr>
        <w:t xml:space="preserve">Supplementary Table 9: GO enrichment results for exosomal cargo</w:t>
      </w:r>
    </w:p>
    <w:p>
      <w:pPr>
        <w:spacing w:after="100"/>
      </w:pPr>
      <w:r>
        <w:rPr>
          <w:rFonts w:ascii="Times New Roman" w:hAnsi="Times New Roman" w:eastAsia="Times New Roman"/>
          <w:sz w:val="22"/>
          <w:szCs w:val="22"/>
        </w:rPr>
        <w:t xml:space="preserve">Supplementary Table 10: Differential expression statistics</w:t>
      </w:r>
    </w:p>
    <w:p>
      <w:pPr>
        <w:spacing w:after="100"/>
      </w:pPr>
      <w:r>
        <w:rPr>
          <w:rFonts w:ascii="Times New Roman" w:hAnsi="Times New Roman" w:eastAsia="Times New Roman"/>
          <w:sz w:val="22"/>
          <w:szCs w:val="22"/>
        </w:rPr>
        <w:t xml:space="preserve">Supplementary Table 11: Molecular docking scores</w:t>
      </w:r>
    </w:p>
    <w:p>
      <w:pPr>
        <w:spacing w:after="100"/>
      </w:pPr>
      <w:r>
        <w:rPr>
          <w:rFonts w:ascii="Times New Roman" w:hAnsi="Times New Roman" w:eastAsia="Times New Roman"/>
          <w:sz w:val="22"/>
          <w:szCs w:val="22"/>
        </w:rPr>
        <w:t xml:space="preserve">Supplementary Table 12: SCENIC regulon activity</w:t>
      </w:r>
    </w:p>
    <w:p>
      <w:pPr>
        <w:spacing w:after="100"/>
      </w:pPr>
      <w:r>
        <w:rPr>
          <w:rFonts w:ascii="Times New Roman" w:hAnsi="Times New Roman" w:eastAsia="Times New Roman"/>
          <w:sz w:val="22"/>
          <w:szCs w:val="22"/>
        </w:rPr>
        <w:t xml:space="preserve">Supplementary Table 13: Cell type proportion across pseudotime stages</w:t>
      </w:r>
    </w:p>
    <w:p>
      <w:pPr>
        <w:spacing w:after="100"/>
      </w:pPr>
      <w:r>
        <w:rPr>
          <w:rFonts w:ascii="Times New Roman" w:hAnsi="Times New Roman" w:eastAsia="Times New Roman"/>
          <w:sz w:val="22"/>
          <w:szCs w:val="22"/>
        </w:rPr>
        <w:t xml:space="preserve">Supplementary Table 14: Quality control metrics</w:t>
      </w:r>
    </w:p>
    <w:p>
      <w:pPr>
        <w:spacing w:after="100"/>
      </w:pPr>
      <w:r>
        <w:rPr>
          <w:rFonts w:ascii="Times New Roman" w:hAnsi="Times New Roman" w:eastAsia="Times New Roman"/>
          <w:sz w:val="22"/>
          <w:szCs w:val="22"/>
        </w:rPr>
        <w:t xml:space="preserve">Supplementary Table 15: Software and package versions</w:t>
      </w:r>
    </w:p>
    <w:p>
      <w:pPr>
        <w:spacing w:after="100"/>
      </w:pPr>
      <w:r>
        <w:rPr>
          <w:rFonts w:ascii="Times New Roman" w:hAnsi="Times New Roman" w:eastAsia="Times New Roman"/>
          <w:sz w:val="22"/>
          <w:szCs w:val="22"/>
        </w:rPr>
        <w:t xml:space="preserve">Supplementary Figure 1: Trajectory analysis and spatiotemporal cargo mapping</w:t>
      </w:r>
    </w:p>
    <w:p>
      <w:pPr>
        <w:spacing w:after="100"/>
      </w:pPr>
      <w:r>
        <w:rPr>
          <w:rFonts w:ascii="Times New Roman" w:hAnsi="Times New Roman" w:eastAsia="Times New Roman"/>
          <w:sz w:val="22"/>
          <w:szCs w:val="22"/>
        </w:rPr>
        <w:t xml:space="preserve">Supplementary Figure 2: CellChat differential communication analysis</w:t>
      </w:r>
    </w:p>
    <w:p>
      <w:pPr>
        <w:spacing w:after="100"/>
      </w:pPr>
      <w:r>
        <w:rPr>
          <w:rFonts w:ascii="Times New Roman" w:hAnsi="Times New Roman" w:eastAsia="Times New Roman"/>
          <w:sz w:val="22"/>
          <w:szCs w:val="22"/>
        </w:rPr>
        <w:t xml:space="preserve">Supplementary Figure 3: GO functional enrichment details</w:t>
      </w:r>
    </w:p>
    <w:p>
      <w:pPr>
        <w:spacing w:after="100"/>
      </w:pPr>
      <w:r>
        <w:rPr>
          <w:rFonts w:ascii="Times New Roman" w:hAnsi="Times New Roman" w:eastAsia="Times New Roman"/>
          <w:sz w:val="22"/>
          <w:szCs w:val="22"/>
        </w:rPr>
        <w:t xml:space="preserve">Supplementary Figure 4: Receptor expression heatmap</w:t>
      </w:r>
    </w:p>
    <w:p>
      <w:pPr>
        <w:spacing w:after="100"/>
      </w:pPr>
      <w:r>
        <w:rPr>
          <w:rFonts w:ascii="Times New Roman" w:hAnsi="Times New Roman" w:eastAsia="Times New Roman"/>
          <w:sz w:val="22"/>
          <w:szCs w:val="22"/>
        </w:rPr>
        <w:t xml:space="preserve">───────────────────────────────────────────────────────────────────────────────</w:t>
      </w:r>
    </w:p>
    <w:p>
      <w:pPr>
        <w:spacing w:after="100"/>
      </w:pPr>
      <w:r>
        <w:rPr>
          <w:rFonts w:ascii="Times New Roman" w:hAnsi="Times New Roman" w:eastAsia="Times New Roman"/>
          <w:sz w:val="22"/>
          <w:szCs w:val="22"/>
        </w:rPr>
        <w:t xml:space="preserve">**Manuscript End**</w:t>
      </w:r>
    </w:p>
    <w:p>
      <w:pPr>
        <w:spacing w:after="100"/>
      </w:pPr>
      <w:r>
        <w:rPr>
          <w:rFonts w:ascii="Times New Roman" w:hAnsi="Times New Roman" w:eastAsia="Times New Roman"/>
          <w:sz w:val="22"/>
          <w:szCs w:val="22"/>
        </w:rPr>
        <w:t xml:space="preserve">Last updated: 2026-04-05 16:44</w:t>
      </w:r>
    </w:p>
    <w:p>
      <w:pPr>
        <w:spacing w:after="100"/>
      </w:pPr>
      <w:r>
        <w:rPr>
          <w:rFonts w:ascii="Times New Roman" w:hAnsi="Times New Roman" w:eastAsia="Times New Roman"/>
          <w:sz w:val="22"/>
          <w:szCs w:val="22"/>
        </w:rPr>
        <w:t xml:space="preserve">Word count (main text): 4,876 words</w:t>
      </w:r>
    </w:p>
    <w:p>
      <w:pPr>
        <w:spacing w:after="100"/>
      </w:pPr>
      <w:r>
        <w:rPr>
          <w:rFonts w:ascii="Times New Roman" w:hAnsi="Times New Roman" w:eastAsia="Times New Roman"/>
          <w:sz w:val="22"/>
          <w:szCs w:val="22"/>
        </w:rPr>
        <w:t xml:space="preserve">References: 50 references</w:t>
      </w:r>
    </w:p>
    <w:sectPr w:rsidR="00D10C22"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CAB98" w14:textId="77777777" w:rsidR="00200353" w:rsidRDefault="00200353" w:rsidP="00C03879">
      <w:pPr>
        <w:spacing w:after="0" w:line="240" w:lineRule="auto"/>
      </w:pPr>
      <w:r>
        <w:separator/>
      </w:r>
    </w:p>
  </w:endnote>
  <w:endnote w:type="continuationSeparator" w:id="0">
    <w:p w14:paraId="679636A0" w14:textId="77777777" w:rsidR="00200353" w:rsidRDefault="00200353" w:rsidP="00C03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C2018" w14:textId="77777777" w:rsidR="00200353" w:rsidRDefault="00200353" w:rsidP="00C03879">
      <w:pPr>
        <w:spacing w:after="0" w:line="240" w:lineRule="auto"/>
      </w:pPr>
      <w:r>
        <w:separator/>
      </w:r>
    </w:p>
  </w:footnote>
  <w:footnote w:type="continuationSeparator" w:id="0">
    <w:p w14:paraId="0FC88B9F" w14:textId="77777777" w:rsidR="00200353" w:rsidRDefault="00200353" w:rsidP="00C038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35347083">
    <w:abstractNumId w:val="8"/>
  </w:num>
  <w:num w:numId="2" w16cid:durableId="405998578">
    <w:abstractNumId w:val="6"/>
  </w:num>
  <w:num w:numId="3" w16cid:durableId="455098212">
    <w:abstractNumId w:val="5"/>
  </w:num>
  <w:num w:numId="4" w16cid:durableId="1534033500">
    <w:abstractNumId w:val="4"/>
  </w:num>
  <w:num w:numId="5" w16cid:durableId="1223443142">
    <w:abstractNumId w:val="7"/>
  </w:num>
  <w:num w:numId="6" w16cid:durableId="1361006731">
    <w:abstractNumId w:val="3"/>
  </w:num>
  <w:num w:numId="7" w16cid:durableId="425080172">
    <w:abstractNumId w:val="2"/>
  </w:num>
  <w:num w:numId="8" w16cid:durableId="35472045">
    <w:abstractNumId w:val="1"/>
  </w:num>
  <w:num w:numId="9" w16cid:durableId="1283341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F75"/>
    <w:rsid w:val="00200353"/>
    <w:rsid w:val="0029639D"/>
    <w:rsid w:val="00326F90"/>
    <w:rsid w:val="00AA1D8D"/>
    <w:rsid w:val="00AA2EC6"/>
    <w:rsid w:val="00B47730"/>
    <w:rsid w:val="00C03879"/>
    <w:rsid w:val="00CB0664"/>
    <w:rsid w:val="00D10C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DF6EE9"/>
  <w14:defaultImageDpi w14:val="300"/>
  <w15:docId w15:val="{3E08C400-B954-4837-8D37-E209FA9DF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6581</Words>
  <Characters>37513</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shiyou ren</cp:lastModifiedBy>
  <cp:revision>3</cp:revision>
  <dcterms:created xsi:type="dcterms:W3CDTF">2013-12-23T23:15:00Z</dcterms:created>
  <dcterms:modified xsi:type="dcterms:W3CDTF">2026-04-05T08:31:00Z</dcterms:modified>
  <cp:category/>
</cp:coreProperties>
</file>