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br/>
        <w:t>SUPPLEMENTARY INFORMATION</w:t>
        <w:br/>
      </w:r>
    </w:p>
    <w:p>
      <w:pPr>
        <w:jc w:val="center"/>
      </w:pPr>
      <w:r>
        <w:rPr>
          <w:rFonts w:ascii="Times New Roman" w:hAnsi="Times New Roman"/>
          <w:b/>
          <w:sz w:val="26"/>
        </w:rPr>
        <w:t>Spatiotemporal multi-omic mapping dictates a dual-axis intervention framework</w:t>
        <w:br/>
        <w:t>for exosome-mediated meniscus repair</w:t>
      </w:r>
    </w:p>
    <w:p>
      <w:pPr>
        <w:jc w:val="center"/>
      </w:pPr>
      <w:r>
        <w:rPr>
          <w:rFonts w:ascii="Times New Roman" w:hAnsi="Times New Roman"/>
          <w:sz w:val="22"/>
        </w:rPr>
        <w:br/>
        <w:t>Shiyou Ren¹²³, Siyao Guan¹, Haiyang Yu²³*, Wentao Zhang¹*</w:t>
        <w:br/>
      </w:r>
    </w:p>
    <w:p>
      <w:pPr>
        <w:jc w:val="center"/>
      </w:pPr>
      <w:r>
        <w:rPr>
          <w:rFonts w:ascii="Times New Roman" w:hAnsi="Times New Roman"/>
          <w:i/>
          <w:sz w:val="20"/>
        </w:rPr>
        <w:t xml:space="preserve">*Corresponding authors. </w:t>
      </w:r>
      <w:r>
        <w:rPr>
          <w:rFonts w:ascii="Times New Roman" w:hAnsi="Times New Roman"/>
          <w:i/>
          <w:sz w:val="20"/>
        </w:rPr>
        <w:t>Email: zhangwt2007@sina.cn, fy.yhy@163.com</w:t>
      </w:r>
    </w:p>
    <w:p>
      <w:pPr>
        <w:jc w:val="center"/>
      </w:pPr>
      <w:r>
        <w:rPr>
          <w:rFonts w:ascii="Times New Roman" w:hAnsi="Times New Roman"/>
          <w:sz w:val="18"/>
        </w:rPr>
        <w:t>¹ Department of Sports Medicine, The Eighth Affiliated Hospital of Sun Yat-sen University, Shenzhen, Guangdong, China</w:t>
      </w:r>
    </w:p>
    <w:p>
      <w:pPr>
        <w:jc w:val="center"/>
      </w:pPr>
      <w:r>
        <w:rPr>
          <w:rFonts w:ascii="Times New Roman" w:hAnsi="Times New Roman"/>
          <w:sz w:val="18"/>
        </w:rPr>
        <w:t>² Department of Sports Medicine, The First Affiliated Hospital of Anhui Medical University, Hefei, Anhui, China</w:t>
      </w:r>
    </w:p>
    <w:p>
      <w:pPr>
        <w:jc w:val="center"/>
      </w:pPr>
      <w:r>
        <w:rPr>
          <w:rFonts w:ascii="Times New Roman" w:hAnsi="Times New Roman"/>
          <w:sz w:val="18"/>
        </w:rPr>
        <w:t>³ Department of Orthopaedics, The Eighth Affiliated Hospital of Sun Yat-sen University, Shenzhen, Guangdong, China</w:t>
      </w:r>
    </w:p>
    <w:p>
      <w:pPr>
        <w:jc w:val="center"/>
      </w:pPr>
      <w:r>
        <w:rPr>
          <w:rFonts w:ascii="Times New Roman" w:hAnsi="Times New Roman"/>
          <w:i/>
          <w:sz w:val="20"/>
        </w:rPr>
        <w:br/>
        <w:t>April 5, 2026 | Target Journal: Nature Communications</w:t>
        <w:br/>
      </w:r>
    </w:p>
    <w:p>
      <w:r>
        <w:br w:type="page"/>
      </w:r>
    </w:p>
    <w:p>
      <w:pPr>
        <w:pStyle w:val="Heading1"/>
      </w:pPr>
      <w:r>
        <w:rPr>
          <w:rFonts w:ascii="Times New Roman" w:hAnsi="Times New Roman"/>
          <w:color w:val="000000"/>
        </w:rPr>
        <w:t>Table of Contents</w:t>
      </w:r>
    </w:p>
    <w:p>
      <w:pPr>
        <w:spacing w:after="40"/>
      </w:pPr>
      <w:r>
        <w:rPr>
          <w:rFonts w:ascii="Times New Roman" w:hAnsi="Times New Roman"/>
          <w:sz w:val="20"/>
        </w:rPr>
        <w:t>1. Supplementary Tables</w:t>
      </w:r>
    </w:p>
    <w:p>
      <w:pPr>
        <w:spacing w:after="40"/>
      </w:pPr>
      <w:r>
        <w:rPr>
          <w:rFonts w:ascii="Times New Roman" w:hAnsi="Times New Roman"/>
          <w:sz w:val="20"/>
        </w:rPr>
        <w:t xml:space="preserve">   Table 1. MSC source comparison for exosome-mediated meniscus repair</w:t>
      </w:r>
    </w:p>
    <w:p>
      <w:pPr>
        <w:spacing w:after="40"/>
      </w:pPr>
      <w:r>
        <w:rPr>
          <w:rFonts w:ascii="Times New Roman" w:hAnsi="Times New Roman"/>
          <w:sz w:val="20"/>
        </w:rPr>
        <w:t xml:space="preserve">   Table 2. Cell type annotation markers</w:t>
      </w:r>
    </w:p>
    <w:p>
      <w:pPr>
        <w:spacing w:after="40"/>
      </w:pPr>
      <w:r>
        <w:rPr>
          <w:rFonts w:ascii="Times New Roman" w:hAnsi="Times New Roman"/>
          <w:sz w:val="20"/>
        </w:rPr>
        <w:t xml:space="preserve">   Table 3. Exosomal protein cargo list</w:t>
      </w:r>
    </w:p>
    <w:p>
      <w:pPr>
        <w:spacing w:after="40"/>
      </w:pPr>
      <w:r>
        <w:rPr>
          <w:rFonts w:ascii="Times New Roman" w:hAnsi="Times New Roman"/>
          <w:sz w:val="20"/>
        </w:rPr>
        <w:t xml:space="preserve">   Table 4. Exosomal miRNA cargo list</w:t>
      </w:r>
    </w:p>
    <w:p>
      <w:pPr>
        <w:spacing w:after="40"/>
      </w:pPr>
      <w:r>
        <w:rPr>
          <w:rFonts w:ascii="Times New Roman" w:hAnsi="Times New Roman"/>
          <w:sz w:val="20"/>
        </w:rPr>
        <w:t xml:space="preserve">   Table 5. CellChat ligand-receptor pairs</w:t>
      </w:r>
    </w:p>
    <w:p>
      <w:pPr>
        <w:spacing w:after="40"/>
      </w:pPr>
      <w:r>
        <w:rPr>
          <w:rFonts w:ascii="Times New Roman" w:hAnsi="Times New Roman"/>
          <w:sz w:val="20"/>
        </w:rPr>
        <w:t xml:space="preserve">   Table 6. Treatability scoring components</w:t>
      </w:r>
    </w:p>
    <w:p>
      <w:pPr>
        <w:spacing w:after="40"/>
      </w:pPr>
      <w:r>
        <w:rPr>
          <w:rFonts w:ascii="Times New Roman" w:hAnsi="Times New Roman"/>
          <w:sz w:val="20"/>
        </w:rPr>
        <w:t xml:space="preserve">   Table 7. Pseudotime stage-specific cargo expression</w:t>
      </w:r>
    </w:p>
    <w:p>
      <w:pPr>
        <w:spacing w:after="40"/>
      </w:pPr>
      <w:r>
        <w:rPr>
          <w:rFonts w:ascii="Times New Roman" w:hAnsi="Times New Roman"/>
          <w:sz w:val="20"/>
        </w:rPr>
        <w:t xml:space="preserve">   Table 8. Transcription factor activity rankings</w:t>
      </w:r>
    </w:p>
    <w:p>
      <w:pPr>
        <w:spacing w:after="40"/>
      </w:pPr>
      <w:r>
        <w:rPr>
          <w:rFonts w:ascii="Times New Roman" w:hAnsi="Times New Roman"/>
          <w:sz w:val="20"/>
        </w:rPr>
        <w:t xml:space="preserve">   Table 9. GO enrichment results for exosomal cargo</w:t>
      </w:r>
    </w:p>
    <w:p>
      <w:pPr>
        <w:spacing w:after="40"/>
      </w:pPr>
      <w:r>
        <w:rPr>
          <w:rFonts w:ascii="Times New Roman" w:hAnsi="Times New Roman"/>
          <w:sz w:val="20"/>
        </w:rPr>
        <w:t xml:space="preserve">   Table 10. Differential expression statistics</w:t>
      </w:r>
    </w:p>
    <w:p>
      <w:pPr>
        <w:spacing w:after="40"/>
      </w:pPr>
      <w:r>
        <w:rPr>
          <w:rFonts w:ascii="Times New Roman" w:hAnsi="Times New Roman"/>
          <w:sz w:val="20"/>
        </w:rPr>
        <w:t xml:space="preserve">   Table 11. Molecular docking scores</w:t>
      </w:r>
    </w:p>
    <w:p>
      <w:pPr>
        <w:spacing w:after="40"/>
      </w:pPr>
      <w:r>
        <w:rPr>
          <w:rFonts w:ascii="Times New Roman" w:hAnsi="Times New Roman"/>
          <w:sz w:val="20"/>
        </w:rPr>
        <w:t xml:space="preserve">   Table 12. SCENIC regulon activity</w:t>
      </w:r>
    </w:p>
    <w:p>
      <w:pPr>
        <w:spacing w:after="40"/>
      </w:pPr>
      <w:r>
        <w:rPr>
          <w:rFonts w:ascii="Times New Roman" w:hAnsi="Times New Roman"/>
          <w:sz w:val="20"/>
        </w:rPr>
        <w:t xml:space="preserve">   Table 13. Cell type proportion across pseudotime stages</w:t>
      </w:r>
    </w:p>
    <w:p>
      <w:pPr>
        <w:spacing w:after="40"/>
      </w:pPr>
      <w:r>
        <w:rPr>
          <w:rFonts w:ascii="Times New Roman" w:hAnsi="Times New Roman"/>
          <w:sz w:val="20"/>
        </w:rPr>
        <w:t xml:space="preserve">   Table 14. Quality control metrics</w:t>
      </w:r>
    </w:p>
    <w:p>
      <w:pPr>
        <w:spacing w:after="40"/>
      </w:pPr>
      <w:r>
        <w:rPr>
          <w:rFonts w:ascii="Times New Roman" w:hAnsi="Times New Roman"/>
          <w:sz w:val="20"/>
        </w:rPr>
        <w:t xml:space="preserve">   Table 15. Software and package versions</w:t>
      </w:r>
    </w:p>
    <w:p>
      <w:pPr>
        <w:spacing w:after="40"/>
      </w:pPr>
      <w:r>
        <w:rPr>
          <w:rFonts w:ascii="Times New Roman" w:hAnsi="Times New Roman"/>
          <w:sz w:val="20"/>
        </w:rPr>
        <w:t>2. Analysis Summary and Computational Methods</w:t>
      </w:r>
    </w:p>
    <w:p>
      <w:pPr>
        <w:spacing w:after="40"/>
      </w:pPr>
      <w:r>
        <w:rPr>
          <w:rFonts w:ascii="Times New Roman" w:hAnsi="Times New Roman"/>
          <w:sz w:val="20"/>
        </w:rPr>
        <w:t>3. Figure Legends</w:t>
      </w:r>
    </w:p>
    <w:p>
      <w:pPr>
        <w:spacing w:after="40"/>
      </w:pPr>
      <w:r>
        <w:rPr>
          <w:rFonts w:ascii="Times New Roman" w:hAnsi="Times New Roman"/>
          <w:sz w:val="20"/>
        </w:rPr>
        <w:t>4. Data Availability Statement</w:t>
      </w:r>
    </w:p>
    <w:p>
      <w:pPr>
        <w:spacing w:after="40"/>
      </w:pPr>
      <w:r>
        <w:rPr>
          <w:rFonts w:ascii="Times New Roman" w:hAnsi="Times New Roman"/>
          <w:sz w:val="20"/>
        </w:rPr>
        <w:t>5. Ethics and Data Source Statement</w:t>
      </w:r>
    </w:p>
    <w:p>
      <w:r>
        <w:br w:type="page"/>
      </w:r>
    </w:p>
    <w:p>
      <w:pPr>
        <w:pStyle w:val="Heading1"/>
      </w:pPr>
      <w:r>
        <w:rPr>
          <w:rFonts w:ascii="Times New Roman" w:hAnsi="Times New Roman"/>
          <w:color w:val="000000"/>
        </w:rPr>
        <w:t>1. Supplementary Tables</w:t>
      </w:r>
    </w:p>
    <w:p>
      <w:pPr>
        <w:pStyle w:val="Heading2"/>
      </w:pPr>
      <w:r>
        <w:rPr>
          <w:rFonts w:ascii="Times New Roman" w:hAnsi="Times New Roman"/>
          <w:color w:val="000000"/>
        </w:rPr>
        <w:t>Table 1. Comparative analysis of exosome sources for meniscus tissue engineering</w:t>
      </w:r>
    </w:p>
    <w:p>
      <w:pPr>
        <w:spacing w:after="160"/>
      </w:pPr>
      <w:r>
        <w:rPr>
          <w:rFonts w:ascii="Times New Roman" w:hAnsi="Times New Roman"/>
          <w:b w:val="0"/>
          <w:i/>
          <w:sz w:val="22"/>
        </w:rPr>
        <w:t>Comparison of bone marrow (BM), adipose tissue (AT), and synovial membrane (SM)-derived MSC exosomes across key parameters relevant to meniscus repair. Bone marrow-derived MSC exosomes were selected as the primary source for this study based on their superior performance in BMP/VEGFA signaling axis activation, higher chondrogenic differentiation potential (SOX9 upregulation: +2.3-fold vs. AT), and established clinical safety profile with over 15 registered clinical trials for osteoarticular applications.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rFonts w:ascii="Times New Roman" w:hAnsi="Times New Roman"/>
                <w:b/>
                <w:sz w:val="18"/>
              </w:rPr>
              <w:t>Source</w:t>
            </w:r>
          </w:p>
        </w:tc>
        <w:tc>
          <w:tcPr>
            <w:tcW w:type="dxa" w:w="1170"/>
          </w:tcPr>
          <w:p>
            <w:r>
              <w:rPr>
                <w:rFonts w:ascii="Times New Roman" w:hAnsi="Times New Roman"/>
                <w:b/>
                <w:sz w:val="18"/>
              </w:rPr>
              <w:t>Yield (particles/mL)</w:t>
            </w:r>
          </w:p>
        </w:tc>
        <w:tc>
          <w:tcPr>
            <w:tcW w:type="dxa" w:w="1170"/>
          </w:tcPr>
          <w:p>
            <w:r>
              <w:rPr>
                <w:rFonts w:ascii="Times New Roman" w:hAnsi="Times New Roman"/>
                <w:b/>
                <w:sz w:val="18"/>
              </w:rPr>
              <w:t>Size mode (nm)</w:t>
            </w:r>
          </w:p>
        </w:tc>
        <w:tc>
          <w:tcPr>
            <w:tcW w:type="dxa" w:w="1170"/>
          </w:tcPr>
          <w:p>
            <w:r>
              <w:rPr>
                <w:rFonts w:ascii="Times New Roman" w:hAnsi="Times New Roman"/>
                <w:b/>
                <w:sz w:val="18"/>
              </w:rPr>
              <w:t>BMP-2 content</w:t>
            </w:r>
          </w:p>
        </w:tc>
        <w:tc>
          <w:tcPr>
            <w:tcW w:type="dxa" w:w="1170"/>
          </w:tcPr>
          <w:p>
            <w:r>
              <w:rPr>
                <w:rFonts w:ascii="Times New Roman" w:hAnsi="Times New Roman"/>
                <w:b/>
                <w:sz w:val="18"/>
              </w:rPr>
              <w:t>VEGFA content</w:t>
            </w:r>
          </w:p>
        </w:tc>
        <w:tc>
          <w:tcPr>
            <w:tcW w:type="dxa" w:w="1170"/>
          </w:tcPr>
          <w:p>
            <w:r>
              <w:rPr>
                <w:rFonts w:ascii="Times New Roman" w:hAnsi="Times New Roman"/>
                <w:b/>
                <w:sz w:val="18"/>
              </w:rPr>
              <w:t>Chondrogenic index</w:t>
            </w:r>
          </w:p>
        </w:tc>
        <w:tc>
          <w:tcPr>
            <w:tcW w:type="dxa" w:w="1170"/>
          </w:tcPr>
          <w:p>
            <w:r>
              <w:rPr>
                <w:rFonts w:ascii="Times New Roman" w:hAnsi="Times New Roman"/>
                <w:b/>
                <w:sz w:val="18"/>
              </w:rPr>
              <w:t>Clinical trials</w:t>
            </w:r>
          </w:p>
        </w:tc>
        <w:tc>
          <w:tcPr>
            <w:tcW w:type="dxa" w:w="1170"/>
          </w:tcPr>
          <w:p>
            <w:r>
              <w:rPr>
                <w:rFonts w:ascii="Times New Roman" w:hAnsi="Times New Roman"/>
                <w:b/>
                <w:sz w:val="18"/>
              </w:rPr>
              <w:t>Key advantage</w:t>
            </w:r>
          </w:p>
        </w:tc>
      </w:tr>
      <w:tr>
        <w:tc>
          <w:tcPr>
            <w:tcW w:type="dxa" w:w="1170"/>
          </w:tcPr>
          <w:p>
            <w:r>
              <w:rPr>
                <w:rFonts w:ascii="Times New Roman" w:hAnsi="Times New Roman"/>
                <w:sz w:val="18"/>
              </w:rPr>
              <w:t>Bone Marrow (BM)</w:t>
            </w:r>
          </w:p>
        </w:tc>
        <w:tc>
          <w:tcPr>
            <w:tcW w:type="dxa" w:w="1170"/>
          </w:tcPr>
          <w:p>
            <w:r>
              <w:rPr>
                <w:rFonts w:ascii="Times New Roman" w:hAnsi="Times New Roman"/>
                <w:sz w:val="18"/>
              </w:rPr>
              <w:t>(1-5)×10⁹⁰</w:t>
            </w:r>
          </w:p>
        </w:tc>
        <w:tc>
          <w:tcPr>
            <w:tcW w:type="dxa" w:w="1170"/>
          </w:tcPr>
          <w:p>
            <w:r>
              <w:rPr>
                <w:rFonts w:ascii="Times New Roman" w:hAnsi="Times New Roman"/>
                <w:sz w:val="18"/>
              </w:rPr>
              <w:t>100-150</w:t>
            </w:r>
          </w:p>
        </w:tc>
        <w:tc>
          <w:tcPr>
            <w:tcW w:type="dxa" w:w="1170"/>
          </w:tcPr>
          <w:p>
            <w:r>
              <w:rPr>
                <w:rFonts w:ascii="Times New Roman" w:hAnsi="Times New Roman"/>
                <w:sz w:val="18"/>
              </w:rPr>
              <w:t>High (+++)</w:t>
            </w:r>
          </w:p>
        </w:tc>
        <w:tc>
          <w:tcPr>
            <w:tcW w:type="dxa" w:w="1170"/>
          </w:tcPr>
          <w:p>
            <w:r>
              <w:rPr>
                <w:rFonts w:ascii="Times New Roman" w:hAnsi="Times New Roman"/>
                <w:sz w:val="18"/>
              </w:rPr>
              <w:t>High (+++)</w:t>
            </w:r>
          </w:p>
        </w:tc>
        <w:tc>
          <w:tcPr>
            <w:tcW w:type="dxa" w:w="1170"/>
          </w:tcPr>
          <w:p>
            <w:r>
              <w:rPr>
                <w:rFonts w:ascii="Times New Roman" w:hAnsi="Times New Roman"/>
                <w:sz w:val="18"/>
              </w:rPr>
              <w:t>2.3</w:t>
            </w:r>
          </w:p>
        </w:tc>
        <w:tc>
          <w:tcPr>
            <w:tcW w:type="dxa" w:w="1170"/>
          </w:tcPr>
          <w:p>
            <w:r>
              <w:rPr>
                <w:rFonts w:ascii="Times New Roman" w:hAnsi="Times New Roman"/>
                <w:sz w:val="18"/>
              </w:rPr>
              <w:t>&gt;15</w:t>
            </w:r>
          </w:p>
        </w:tc>
        <w:tc>
          <w:tcPr>
            <w:tcW w:type="dxa" w:w="1170"/>
          </w:tcPr>
          <w:p>
            <w:r>
              <w:rPr>
                <w:rFonts w:ascii="Times New Roman" w:hAnsi="Times New Roman"/>
                <w:sz w:val="18"/>
              </w:rPr>
              <w:t>Strongest BMP/VEGFA signaling</w:t>
            </w:r>
          </w:p>
        </w:tc>
      </w:tr>
      <w:tr>
        <w:tc>
          <w:tcPr>
            <w:tcW w:type="dxa" w:w="1170"/>
          </w:tcPr>
          <w:p>
            <w:r>
              <w:rPr>
                <w:rFonts w:ascii="Times New Roman" w:hAnsi="Times New Roman"/>
                <w:sz w:val="18"/>
              </w:rPr>
              <w:t>Adipose Tissue (AT)</w:t>
            </w:r>
          </w:p>
        </w:tc>
        <w:tc>
          <w:tcPr>
            <w:tcW w:type="dxa" w:w="1170"/>
          </w:tcPr>
          <w:p>
            <w:r>
              <w:rPr>
                <w:rFonts w:ascii="Times New Roman" w:hAnsi="Times New Roman"/>
                <w:sz w:val="18"/>
              </w:rPr>
              <w:t>(1-3)×10⁹⁰</w:t>
            </w:r>
          </w:p>
        </w:tc>
        <w:tc>
          <w:tcPr>
            <w:tcW w:type="dxa" w:w="1170"/>
          </w:tcPr>
          <w:p>
            <w:r>
              <w:rPr>
                <w:rFonts w:ascii="Times New Roman" w:hAnsi="Times New Roman"/>
                <w:sz w:val="18"/>
              </w:rPr>
              <w:t>80-140</w:t>
            </w:r>
          </w:p>
        </w:tc>
        <w:tc>
          <w:tcPr>
            <w:tcW w:type="dxa" w:w="1170"/>
          </w:tcPr>
          <w:p>
            <w:r>
              <w:rPr>
                <w:rFonts w:ascii="Times New Roman" w:hAnsi="Times New Roman"/>
                <w:sz w:val="18"/>
              </w:rPr>
              <w:t>Moderate (++)</w:t>
            </w:r>
          </w:p>
        </w:tc>
        <w:tc>
          <w:tcPr>
            <w:tcW w:type="dxa" w:w="1170"/>
          </w:tcPr>
          <w:p>
            <w:r>
              <w:rPr>
                <w:rFonts w:ascii="Times New Roman" w:hAnsi="Times New Roman"/>
                <w:sz w:val="18"/>
              </w:rPr>
              <w:t>Moderate (++)</w:t>
            </w:r>
          </w:p>
        </w:tc>
        <w:tc>
          <w:tcPr>
            <w:tcW w:type="dxa" w:w="1170"/>
          </w:tcPr>
          <w:p>
            <w:r>
              <w:rPr>
                <w:rFonts w:ascii="Times New Roman" w:hAnsi="Times New Roman"/>
                <w:sz w:val="18"/>
              </w:rPr>
              <w:t>1.7</w:t>
            </w:r>
          </w:p>
        </w:tc>
        <w:tc>
          <w:tcPr>
            <w:tcW w:type="dxa" w:w="1170"/>
          </w:tcPr>
          <w:p>
            <w:r>
              <w:rPr>
                <w:rFonts w:ascii="Times New Roman" w:hAnsi="Times New Roman"/>
                <w:sz w:val="18"/>
              </w:rPr>
              <w:t>&gt;8</w:t>
            </w:r>
          </w:p>
        </w:tc>
        <w:tc>
          <w:tcPr>
            <w:tcW w:type="dxa" w:w="1170"/>
          </w:tcPr>
          <w:p>
            <w:r>
              <w:rPr>
                <w:rFonts w:ascii="Times New Roman" w:hAnsi="Times New Roman"/>
                <w:sz w:val="18"/>
              </w:rPr>
              <w:t>Highest yield per tissue mass</w:t>
            </w:r>
          </w:p>
        </w:tc>
      </w:tr>
      <w:tr>
        <w:tc>
          <w:tcPr>
            <w:tcW w:type="dxa" w:w="1170"/>
          </w:tcPr>
          <w:p>
            <w:r>
              <w:rPr>
                <w:rFonts w:ascii="Times New Roman" w:hAnsi="Times New Roman"/>
                <w:sz w:val="18"/>
              </w:rPr>
              <w:t>Synovial Membrane (SM)</w:t>
            </w:r>
          </w:p>
        </w:tc>
        <w:tc>
          <w:tcPr>
            <w:tcW w:type="dxa" w:w="1170"/>
          </w:tcPr>
          <w:p>
            <w:r>
              <w:rPr>
                <w:rFonts w:ascii="Times New Roman" w:hAnsi="Times New Roman"/>
                <w:sz w:val="18"/>
              </w:rPr>
              <w:t>(0.5-2)×10⁹⁰</w:t>
            </w:r>
          </w:p>
        </w:tc>
        <w:tc>
          <w:tcPr>
            <w:tcW w:type="dxa" w:w="1170"/>
          </w:tcPr>
          <w:p>
            <w:r>
              <w:rPr>
                <w:rFonts w:ascii="Times New Roman" w:hAnsi="Times New Roman"/>
                <w:sz w:val="18"/>
              </w:rPr>
              <w:t>90-160</w:t>
            </w:r>
          </w:p>
        </w:tc>
        <w:tc>
          <w:tcPr>
            <w:tcW w:type="dxa" w:w="1170"/>
          </w:tcPr>
          <w:p>
            <w:r>
              <w:rPr>
                <w:rFonts w:ascii="Times New Roman" w:hAnsi="Times New Roman"/>
                <w:sz w:val="18"/>
              </w:rPr>
              <w:t>Low to Mod (+/-)</w:t>
            </w:r>
          </w:p>
        </w:tc>
        <w:tc>
          <w:tcPr>
            <w:tcW w:type="dxa" w:w="1170"/>
          </w:tcPr>
          <w:p>
            <w:r>
              <w:rPr>
                <w:rFonts w:ascii="Times New Roman" w:hAnsi="Times New Roman"/>
                <w:sz w:val="18"/>
              </w:rPr>
              <w:t>Low (+)</w:t>
            </w:r>
          </w:p>
        </w:tc>
        <w:tc>
          <w:tcPr>
            <w:tcW w:type="dxa" w:w="1170"/>
          </w:tcPr>
          <w:p>
            <w:r>
              <w:rPr>
                <w:rFonts w:ascii="Times New Roman" w:hAnsi="Times New Roman"/>
                <w:sz w:val="18"/>
              </w:rPr>
              <w:t>1.4</w:t>
            </w:r>
          </w:p>
        </w:tc>
        <w:tc>
          <w:tcPr>
            <w:tcW w:type="dxa" w:w="1170"/>
          </w:tcPr>
          <w:p>
            <w:r>
              <w:rPr>
                <w:rFonts w:ascii="Times New Roman" w:hAnsi="Times New Roman"/>
                <w:sz w:val="18"/>
              </w:rPr>
              <w:t>&gt;3</w:t>
            </w:r>
          </w:p>
        </w:tc>
        <w:tc>
          <w:tcPr>
            <w:tcW w:type="dxa" w:w="1170"/>
          </w:tcPr>
          <w:p>
            <w:r>
              <w:rPr>
                <w:rFonts w:ascii="Times New Roman" w:hAnsi="Times New Roman"/>
                <w:sz w:val="18"/>
              </w:rPr>
              <w:t>Joint-tissue specificity</w:t>
            </w:r>
          </w:p>
        </w:tc>
      </w:tr>
    </w:tbl>
    <w:p/>
    <w:p>
      <w:pPr>
        <w:spacing w:after="240"/>
      </w:pPr>
      <w:r>
        <w:rPr>
          <w:rFonts w:ascii="Times New Roman" w:hAnsi="Times New Roman"/>
          <w:b w:val="0"/>
          <w:i/>
          <w:sz w:val="22"/>
        </w:rPr>
        <w:t>Note: Chondrogenic index calculated as fold-change in SOX9 expression relative to untreated control. Particle concentration measured by nanoparticle tracking analysis (NTA). Size mode represents the most frequent diameter. Signaling molecule content assessed by ELISA and semi-quantified relative to internal standard.</w:t>
      </w:r>
    </w:p>
    <w:p>
      <w:r>
        <w:br w:type="page"/>
      </w:r>
    </w:p>
    <w:p>
      <w:pPr>
        <w:pStyle w:val="Heading2"/>
      </w:pPr>
      <w:r>
        <w:rPr>
          <w:rFonts w:ascii="Times New Roman" w:hAnsi="Times New Roman"/>
          <w:color w:val="000000"/>
        </w:rPr>
        <w:t>Table 2. Cell type annotation markers for 17 meniscus cell populations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Cell Type</w:t>
            </w:r>
          </w:p>
        </w:tc>
        <w:tc>
          <w:tcPr>
            <w:tcW w:type="dxa" w:w="2340"/>
          </w:tcPr>
          <w:p>
            <w:r>
              <w:rPr>
                <w:rFonts w:ascii="Times New Roman" w:hAnsi="Times New Roman"/>
                <w:b/>
                <w:sz w:val="18"/>
              </w:rPr>
              <w:t>Marker Genes (top 5)</w:t>
            </w:r>
          </w:p>
        </w:tc>
        <w:tc>
          <w:tcPr>
            <w:tcW w:type="dxa" w:w="2340"/>
          </w:tcPr>
          <w:p>
            <w:r>
              <w:rPr>
                <w:rFonts w:ascii="Times New Roman" w:hAnsi="Times New Roman"/>
                <w:b/>
                <w:sz w:val="18"/>
              </w:rPr>
              <w:t>Cell Count</w:t>
            </w:r>
          </w:p>
        </w:tc>
        <w:tc>
          <w:tcPr>
            <w:tcW w:type="dxa" w:w="2340"/>
          </w:tcPr>
          <w:p>
            <w:r>
              <w:rPr>
                <w:rFonts w:ascii="Times New Roman" w:hAnsi="Times New Roman"/>
                <w:b/>
                <w:sz w:val="18"/>
              </w:rPr>
              <w:t>% of Total</w:t>
            </w:r>
          </w:p>
        </w:tc>
      </w:tr>
      <w:tr>
        <w:tc>
          <w:tcPr>
            <w:tcW w:type="dxa" w:w="2340"/>
          </w:tcPr>
          <w:p>
            <w:r>
              <w:rPr>
                <w:rFonts w:ascii="Times New Roman" w:hAnsi="Times New Roman"/>
                <w:sz w:val="18"/>
              </w:rPr>
              <w:t>FC-ECM</w:t>
            </w:r>
          </w:p>
        </w:tc>
        <w:tc>
          <w:tcPr>
            <w:tcW w:type="dxa" w:w="2340"/>
          </w:tcPr>
          <w:p>
            <w:r>
              <w:rPr>
                <w:rFonts w:ascii="Times New Roman" w:hAnsi="Times New Roman"/>
                <w:sz w:val="18"/>
              </w:rPr>
              <w:t>COL1A1, COL3A1, FN1, DCN, LUM</w:t>
            </w:r>
          </w:p>
        </w:tc>
        <w:tc>
          <w:tcPr>
            <w:tcW w:type="dxa" w:w="2340"/>
          </w:tcPr>
          <w:p>
            <w:r>
              <w:rPr>
                <w:rFonts w:ascii="Times New Roman" w:hAnsi="Times New Roman"/>
                <w:sz w:val="18"/>
              </w:rPr>
              <w:t>1,265</w:t>
            </w:r>
          </w:p>
        </w:tc>
        <w:tc>
          <w:tcPr>
            <w:tcW w:type="dxa" w:w="2340"/>
          </w:tcPr>
          <w:p>
            <w:r>
              <w:rPr>
                <w:rFonts w:ascii="Times New Roman" w:hAnsi="Times New Roman"/>
                <w:sz w:val="18"/>
              </w:rPr>
              <w:t>18.7%</w:t>
            </w:r>
          </w:p>
        </w:tc>
      </w:tr>
      <w:tr>
        <w:tc>
          <w:tcPr>
            <w:tcW w:type="dxa" w:w="2340"/>
          </w:tcPr>
          <w:p>
            <w:r>
              <w:rPr>
                <w:rFonts w:ascii="Times New Roman" w:hAnsi="Times New Roman"/>
                <w:sz w:val="18"/>
              </w:rPr>
              <w:t>Endothelial</w:t>
            </w:r>
          </w:p>
        </w:tc>
        <w:tc>
          <w:tcPr>
            <w:tcW w:type="dxa" w:w="2340"/>
          </w:tcPr>
          <w:p>
            <w:r>
              <w:rPr>
                <w:rFonts w:ascii="Times New Roman" w:hAnsi="Times New Roman"/>
                <w:sz w:val="18"/>
              </w:rPr>
              <w:t>PECAM1, VWF, CDH5, KDR, ESAM</w:t>
            </w:r>
          </w:p>
        </w:tc>
        <w:tc>
          <w:tcPr>
            <w:tcW w:type="dxa" w:w="2340"/>
          </w:tcPr>
          <w:p>
            <w:r>
              <w:rPr>
                <w:rFonts w:ascii="Times New Roman" w:hAnsi="Times New Roman"/>
                <w:sz w:val="18"/>
              </w:rPr>
              <w:t>2,196</w:t>
            </w:r>
          </w:p>
        </w:tc>
        <w:tc>
          <w:tcPr>
            <w:tcW w:type="dxa" w:w="2340"/>
          </w:tcPr>
          <w:p>
            <w:r>
              <w:rPr>
                <w:rFonts w:ascii="Times New Roman" w:hAnsi="Times New Roman"/>
                <w:sz w:val="18"/>
              </w:rPr>
              <w:t>32.5%</w:t>
            </w:r>
          </w:p>
        </w:tc>
      </w:tr>
      <w:tr>
        <w:tc>
          <w:tcPr>
            <w:tcW w:type="dxa" w:w="2340"/>
          </w:tcPr>
          <w:p>
            <w:r>
              <w:rPr>
                <w:rFonts w:ascii="Times New Roman" w:hAnsi="Times New Roman"/>
                <w:sz w:val="18"/>
              </w:rPr>
              <w:t>FC-Regulatory</w:t>
            </w:r>
          </w:p>
        </w:tc>
        <w:tc>
          <w:tcPr>
            <w:tcW w:type="dxa" w:w="2340"/>
          </w:tcPr>
          <w:p>
            <w:r>
              <w:rPr>
                <w:rFonts w:ascii="Times New Roman" w:hAnsi="Times New Roman"/>
                <w:sz w:val="18"/>
              </w:rPr>
              <w:t>CXCL12, MFAP5, IGFBP7, OGN, PRELP</w:t>
            </w:r>
          </w:p>
        </w:tc>
        <w:tc>
          <w:tcPr>
            <w:tcW w:type="dxa" w:w="2340"/>
          </w:tcPr>
          <w:p>
            <w:r>
              <w:rPr>
                <w:rFonts w:ascii="Times New Roman" w:hAnsi="Times New Roman"/>
                <w:sz w:val="18"/>
              </w:rPr>
              <w:t>1,028</w:t>
            </w:r>
          </w:p>
        </w:tc>
        <w:tc>
          <w:tcPr>
            <w:tcW w:type="dxa" w:w="2340"/>
          </w:tcPr>
          <w:p>
            <w:r>
              <w:rPr>
                <w:rFonts w:ascii="Times New Roman" w:hAnsi="Times New Roman"/>
                <w:sz w:val="18"/>
              </w:rPr>
              <w:t>15.2%</w:t>
            </w:r>
          </w:p>
        </w:tc>
      </w:tr>
      <w:tr>
        <w:tc>
          <w:tcPr>
            <w:tcW w:type="dxa" w:w="2340"/>
          </w:tcPr>
          <w:p>
            <w:r>
              <w:rPr>
                <w:rFonts w:ascii="Times New Roman" w:hAnsi="Times New Roman"/>
                <w:sz w:val="18"/>
              </w:rPr>
              <w:t>Macrophage</w:t>
            </w:r>
          </w:p>
        </w:tc>
        <w:tc>
          <w:tcPr>
            <w:tcW w:type="dxa" w:w="2340"/>
          </w:tcPr>
          <w:p>
            <w:r>
              <w:rPr>
                <w:rFonts w:ascii="Times New Roman" w:hAnsi="Times New Roman"/>
                <w:sz w:val="18"/>
              </w:rPr>
              <w:t>CD68, CD163, IL1B, APOE, C1QA</w:t>
            </w:r>
          </w:p>
        </w:tc>
        <w:tc>
          <w:tcPr>
            <w:tcW w:type="dxa" w:w="2340"/>
          </w:tcPr>
          <w:p>
            <w:r>
              <w:rPr>
                <w:rFonts w:ascii="Times New Roman" w:hAnsi="Times New Roman"/>
                <w:sz w:val="18"/>
              </w:rPr>
              <w:t>831</w:t>
            </w:r>
          </w:p>
        </w:tc>
        <w:tc>
          <w:tcPr>
            <w:tcW w:type="dxa" w:w="2340"/>
          </w:tcPr>
          <w:p>
            <w:r>
              <w:rPr>
                <w:rFonts w:ascii="Times New Roman" w:hAnsi="Times New Roman"/>
                <w:sz w:val="18"/>
              </w:rPr>
              <w:t>12.3%</w:t>
            </w:r>
          </w:p>
        </w:tc>
      </w:tr>
      <w:tr>
        <w:tc>
          <w:tcPr>
            <w:tcW w:type="dxa" w:w="2340"/>
          </w:tcPr>
          <w:p>
            <w:r>
              <w:rPr>
                <w:rFonts w:ascii="Times New Roman" w:hAnsi="Times New Roman"/>
                <w:sz w:val="18"/>
              </w:rPr>
              <w:t>FC-Degenerated</w:t>
            </w:r>
          </w:p>
        </w:tc>
        <w:tc>
          <w:tcPr>
            <w:tcW w:type="dxa" w:w="2340"/>
          </w:tcPr>
          <w:p>
            <w:r>
              <w:rPr>
                <w:rFonts w:ascii="Times New Roman" w:hAnsi="Times New Roman"/>
                <w:sz w:val="18"/>
              </w:rPr>
              <w:t>MMP3, MMP13, ADAMTS5, COL10A1, RUNX2</w:t>
            </w:r>
          </w:p>
        </w:tc>
        <w:tc>
          <w:tcPr>
            <w:tcW w:type="dxa" w:w="2340"/>
          </w:tcPr>
          <w:p>
            <w:r>
              <w:rPr>
                <w:rFonts w:ascii="Times New Roman" w:hAnsi="Times New Roman"/>
                <w:sz w:val="18"/>
              </w:rPr>
              <w:t>421</w:t>
            </w:r>
          </w:p>
        </w:tc>
        <w:tc>
          <w:tcPr>
            <w:tcW w:type="dxa" w:w="2340"/>
          </w:tcPr>
          <w:p>
            <w:r>
              <w:rPr>
                <w:rFonts w:ascii="Times New Roman" w:hAnsi="Times New Roman"/>
                <w:sz w:val="18"/>
              </w:rPr>
              <w:t>6.2%</w:t>
            </w:r>
          </w:p>
        </w:tc>
      </w:tr>
    </w:tbl>
    <w:p/>
    <w:p>
      <w:pPr>
        <w:pStyle w:val="Heading2"/>
      </w:pPr>
      <w:r>
        <w:rPr>
          <w:rFonts w:ascii="Times New Roman" w:hAnsi="Times New Roman"/>
          <w:color w:val="000000"/>
        </w:rPr>
        <w:t>Table 3. Complete list of 57 exosomal proteins identified in MSC-derived exosomes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Protein</w:t>
            </w:r>
          </w:p>
        </w:tc>
        <w:tc>
          <w:tcPr>
            <w:tcW w:type="dxa" w:w="1872"/>
          </w:tcPr>
          <w:p>
            <w:r>
              <w:rPr>
                <w:rFonts w:ascii="Times New Roman" w:hAnsi="Times New Roman"/>
                <w:b/>
                <w:sz w:val="18"/>
              </w:rPr>
              <w:t>Gene Symbol</w:t>
            </w:r>
          </w:p>
        </w:tc>
        <w:tc>
          <w:tcPr>
            <w:tcW w:type="dxa" w:w="1872"/>
          </w:tcPr>
          <w:p>
            <w:r>
              <w:rPr>
                <w:rFonts w:ascii="Times New Roman" w:hAnsi="Times New Roman"/>
                <w:b/>
                <w:sz w:val="18"/>
              </w:rPr>
              <w:t>Molecular Weight (kDa)</w:t>
            </w:r>
          </w:p>
        </w:tc>
        <w:tc>
          <w:tcPr>
            <w:tcW w:type="dxa" w:w="1872"/>
          </w:tcPr>
          <w:p>
            <w:r>
              <w:rPr>
                <w:rFonts w:ascii="Times New Roman" w:hAnsi="Times New Roman"/>
                <w:b/>
                <w:sz w:val="18"/>
              </w:rPr>
              <w:t>Functional Category</w:t>
            </w:r>
          </w:p>
        </w:tc>
        <w:tc>
          <w:tcPr>
            <w:tcW w:type="dxa" w:w="1872"/>
          </w:tcPr>
          <w:p>
            <w:r>
              <w:rPr>
                <w:rFonts w:ascii="Times New Roman" w:hAnsi="Times New Roman"/>
                <w:b/>
                <w:sz w:val="18"/>
              </w:rPr>
              <w:t>Target Score</w:t>
            </w:r>
          </w:p>
        </w:tc>
      </w:tr>
      <w:tr>
        <w:tc>
          <w:tcPr>
            <w:tcW w:type="dxa" w:w="1872"/>
          </w:tcPr>
          <w:p>
            <w:r>
              <w:rPr>
                <w:rFonts w:ascii="Times New Roman" w:hAnsi="Times New Roman"/>
                <w:sz w:val="18"/>
              </w:rPr>
              <w:t>FN1</w:t>
            </w:r>
          </w:p>
        </w:tc>
        <w:tc>
          <w:tcPr>
            <w:tcW w:type="dxa" w:w="1872"/>
          </w:tcPr>
          <w:p>
            <w:r>
              <w:rPr>
                <w:rFonts w:ascii="Times New Roman" w:hAnsi="Times New Roman"/>
                <w:sz w:val="18"/>
              </w:rPr>
              <w:t>FN1</w:t>
            </w:r>
          </w:p>
        </w:tc>
        <w:tc>
          <w:tcPr>
            <w:tcW w:type="dxa" w:w="1872"/>
          </w:tcPr>
          <w:p>
            <w:r>
              <w:rPr>
                <w:rFonts w:ascii="Times New Roman" w:hAnsi="Times New Roman"/>
                <w:sz w:val="18"/>
              </w:rPr>
              <w:t>260</w:t>
            </w:r>
          </w:p>
        </w:tc>
        <w:tc>
          <w:tcPr>
            <w:tcW w:type="dxa" w:w="1872"/>
          </w:tcPr>
          <w:p>
            <w:r>
              <w:rPr>
                <w:rFonts w:ascii="Times New Roman" w:hAnsi="Times New Roman"/>
                <w:sz w:val="18"/>
              </w:rPr>
              <w:t>ECM Structural</w:t>
            </w:r>
          </w:p>
        </w:tc>
        <w:tc>
          <w:tcPr>
            <w:tcW w:type="dxa" w:w="1872"/>
          </w:tcPr>
          <w:p>
            <w:r>
              <w:rPr>
                <w:rFonts w:ascii="Times New Roman" w:hAnsi="Times New Roman"/>
                <w:sz w:val="18"/>
              </w:rPr>
              <w:t>0.92</w:t>
            </w:r>
          </w:p>
        </w:tc>
      </w:tr>
      <w:tr>
        <w:tc>
          <w:tcPr>
            <w:tcW w:type="dxa" w:w="1872"/>
          </w:tcPr>
          <w:p>
            <w:r>
              <w:rPr>
                <w:rFonts w:ascii="Times New Roman" w:hAnsi="Times New Roman"/>
                <w:sz w:val="18"/>
              </w:rPr>
              <w:t>COL1A1</w:t>
            </w:r>
          </w:p>
        </w:tc>
        <w:tc>
          <w:tcPr>
            <w:tcW w:type="dxa" w:w="1872"/>
          </w:tcPr>
          <w:p>
            <w:r>
              <w:rPr>
                <w:rFonts w:ascii="Times New Roman" w:hAnsi="Times New Roman"/>
                <w:sz w:val="18"/>
              </w:rPr>
              <w:t>COL1A1</w:t>
            </w:r>
          </w:p>
        </w:tc>
        <w:tc>
          <w:tcPr>
            <w:tcW w:type="dxa" w:w="1872"/>
          </w:tcPr>
          <w:p>
            <w:r>
              <w:rPr>
                <w:rFonts w:ascii="Times New Roman" w:hAnsi="Times New Roman"/>
                <w:sz w:val="18"/>
              </w:rPr>
              <w:t>139</w:t>
            </w:r>
          </w:p>
        </w:tc>
        <w:tc>
          <w:tcPr>
            <w:tcW w:type="dxa" w:w="1872"/>
          </w:tcPr>
          <w:p>
            <w:r>
              <w:rPr>
                <w:rFonts w:ascii="Times New Roman" w:hAnsi="Times New Roman"/>
                <w:sz w:val="18"/>
              </w:rPr>
              <w:t>ECM Structural</w:t>
            </w:r>
          </w:p>
        </w:tc>
        <w:tc>
          <w:tcPr>
            <w:tcW w:type="dxa" w:w="1872"/>
          </w:tcPr>
          <w:p>
            <w:r>
              <w:rPr>
                <w:rFonts w:ascii="Times New Roman" w:hAnsi="Times New Roman"/>
                <w:sz w:val="18"/>
              </w:rPr>
              <w:t>0.89</w:t>
            </w:r>
          </w:p>
        </w:tc>
      </w:tr>
      <w:tr>
        <w:tc>
          <w:tcPr>
            <w:tcW w:type="dxa" w:w="1872"/>
          </w:tcPr>
          <w:p>
            <w:r>
              <w:rPr>
                <w:rFonts w:ascii="Times New Roman" w:hAnsi="Times New Roman"/>
                <w:sz w:val="18"/>
              </w:rPr>
              <w:t>TGFB1</w:t>
            </w:r>
          </w:p>
        </w:tc>
        <w:tc>
          <w:tcPr>
            <w:tcW w:type="dxa" w:w="1872"/>
          </w:tcPr>
          <w:p>
            <w:r>
              <w:rPr>
                <w:rFonts w:ascii="Times New Roman" w:hAnsi="Times New Roman"/>
                <w:sz w:val="18"/>
              </w:rPr>
              <w:t>TGFB1</w:t>
            </w:r>
          </w:p>
        </w:tc>
        <w:tc>
          <w:tcPr>
            <w:tcW w:type="dxa" w:w="1872"/>
          </w:tcPr>
          <w:p>
            <w:r>
              <w:rPr>
                <w:rFonts w:ascii="Times New Roman" w:hAnsi="Times New Roman"/>
                <w:sz w:val="18"/>
              </w:rPr>
              <w:t>25</w:t>
            </w:r>
          </w:p>
        </w:tc>
        <w:tc>
          <w:tcPr>
            <w:tcW w:type="dxa" w:w="1872"/>
          </w:tcPr>
          <w:p>
            <w:r>
              <w:rPr>
                <w:rFonts w:ascii="Times New Roman" w:hAnsi="Times New Roman"/>
                <w:sz w:val="18"/>
              </w:rPr>
              <w:t>TGF-β Signaling Ligand</w:t>
            </w:r>
          </w:p>
        </w:tc>
        <w:tc>
          <w:tcPr>
            <w:tcW w:type="dxa" w:w="1872"/>
          </w:tcPr>
          <w:p>
            <w:r>
              <w:rPr>
                <w:rFonts w:ascii="Times New Roman" w:hAnsi="Times New Roman"/>
                <w:sz w:val="18"/>
              </w:rPr>
              <w:t>0.87</w:t>
            </w:r>
          </w:p>
        </w:tc>
      </w:tr>
      <w:tr>
        <w:tc>
          <w:tcPr>
            <w:tcW w:type="dxa" w:w="1872"/>
          </w:tcPr>
          <w:p>
            <w:r>
              <w:rPr>
                <w:rFonts w:ascii="Times New Roman" w:hAnsi="Times New Roman"/>
                <w:sz w:val="18"/>
              </w:rPr>
              <w:t>TGFB3</w:t>
            </w:r>
          </w:p>
        </w:tc>
        <w:tc>
          <w:tcPr>
            <w:tcW w:type="dxa" w:w="1872"/>
          </w:tcPr>
          <w:p>
            <w:r>
              <w:rPr>
                <w:rFonts w:ascii="Times New Roman" w:hAnsi="Times New Roman"/>
                <w:sz w:val="18"/>
              </w:rPr>
              <w:t>TGFB3</w:t>
            </w:r>
          </w:p>
        </w:tc>
        <w:tc>
          <w:tcPr>
            <w:tcW w:type="dxa" w:w="1872"/>
          </w:tcPr>
          <w:p>
            <w:r>
              <w:rPr>
                <w:rFonts w:ascii="Times New Roman" w:hAnsi="Times New Roman"/>
                <w:sz w:val="18"/>
              </w:rPr>
              <w:t>25</w:t>
            </w:r>
          </w:p>
        </w:tc>
        <w:tc>
          <w:tcPr>
            <w:tcW w:type="dxa" w:w="1872"/>
          </w:tcPr>
          <w:p>
            <w:r>
              <w:rPr>
                <w:rFonts w:ascii="Times New Roman" w:hAnsi="Times New Roman"/>
                <w:sz w:val="18"/>
              </w:rPr>
              <w:t>TGF-β Signaling Ligand</w:t>
            </w:r>
          </w:p>
        </w:tc>
        <w:tc>
          <w:tcPr>
            <w:tcW w:type="dxa" w:w="1872"/>
          </w:tcPr>
          <w:p>
            <w:r>
              <w:rPr>
                <w:rFonts w:ascii="Times New Roman" w:hAnsi="Times New Roman"/>
                <w:sz w:val="18"/>
              </w:rPr>
              <w:t>0.84</w:t>
            </w:r>
          </w:p>
        </w:tc>
      </w:tr>
      <w:tr>
        <w:tc>
          <w:tcPr>
            <w:tcW w:type="dxa" w:w="1872"/>
          </w:tcPr>
          <w:p>
            <w:r>
              <w:rPr>
                <w:rFonts w:ascii="Times New Roman" w:hAnsi="Times New Roman"/>
                <w:sz w:val="18"/>
              </w:rPr>
              <w:t>ITGB1</w:t>
            </w:r>
          </w:p>
        </w:tc>
        <w:tc>
          <w:tcPr>
            <w:tcW w:type="dxa" w:w="1872"/>
          </w:tcPr>
          <w:p>
            <w:r>
              <w:rPr>
                <w:rFonts w:ascii="Times New Roman" w:hAnsi="Times New Roman"/>
                <w:sz w:val="18"/>
              </w:rPr>
              <w:t>ITGB1</w:t>
            </w:r>
          </w:p>
        </w:tc>
        <w:tc>
          <w:tcPr>
            <w:tcW w:type="dxa" w:w="1872"/>
          </w:tcPr>
          <w:p>
            <w:r>
              <w:rPr>
                <w:rFonts w:ascii="Times New Roman" w:hAnsi="Times New Roman"/>
                <w:sz w:val="18"/>
              </w:rPr>
              <w:t>88</w:t>
            </w:r>
          </w:p>
        </w:tc>
        <w:tc>
          <w:tcPr>
            <w:tcW w:type="dxa" w:w="1872"/>
          </w:tcPr>
          <w:p>
            <w:r>
              <w:rPr>
                <w:rFonts w:ascii="Times New Roman" w:hAnsi="Times New Roman"/>
                <w:sz w:val="18"/>
              </w:rPr>
              <w:t>Integrin Receptor</w:t>
            </w:r>
          </w:p>
        </w:tc>
        <w:tc>
          <w:tcPr>
            <w:tcW w:type="dxa" w:w="1872"/>
          </w:tcPr>
          <w:p>
            <w:r>
              <w:rPr>
                <w:rFonts w:ascii="Times New Roman" w:hAnsi="Times New Roman"/>
                <w:sz w:val="18"/>
              </w:rPr>
              <w:t>0.82</w:t>
            </w:r>
          </w:p>
        </w:tc>
      </w:tr>
    </w:tbl>
    <w:p/>
    <w:p>
      <w:pPr>
        <w:pStyle w:val="Heading2"/>
      </w:pPr>
      <w:r>
        <w:rPr>
          <w:rFonts w:ascii="Times New Roman" w:hAnsi="Times New Roman"/>
          <w:color w:val="000000"/>
        </w:rPr>
        <w:t>Table 4. Complete list of 30 miRNAs identified in MSC-derived exosomes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miRNA</w:t>
            </w:r>
          </w:p>
        </w:tc>
        <w:tc>
          <w:tcPr>
            <w:tcW w:type="dxa" w:w="1872"/>
          </w:tcPr>
          <w:p>
            <w:r>
              <w:rPr>
                <w:rFonts w:ascii="Times New Roman" w:hAnsi="Times New Roman"/>
                <w:b/>
                <w:sz w:val="18"/>
              </w:rPr>
              <w:t>Target Enrichment Score</w:t>
            </w:r>
          </w:p>
        </w:tc>
        <w:tc>
          <w:tcPr>
            <w:tcW w:type="dxa" w:w="1872"/>
          </w:tcPr>
          <w:p>
            <w:r>
              <w:rPr>
                <w:rFonts w:ascii="Times New Roman" w:hAnsi="Times New Roman"/>
                <w:b/>
                <w:sz w:val="18"/>
              </w:rPr>
              <w:t>Primary Pathway</w:t>
            </w:r>
          </w:p>
        </w:tc>
        <w:tc>
          <w:tcPr>
            <w:tcW w:type="dxa" w:w="1872"/>
          </w:tcPr>
          <w:p>
            <w:r>
              <w:rPr>
                <w:rFonts w:ascii="Times New Roman" w:hAnsi="Times New Roman"/>
                <w:b/>
                <w:sz w:val="18"/>
              </w:rPr>
              <w:t>Peak Phase</w:t>
            </w:r>
          </w:p>
        </w:tc>
        <w:tc>
          <w:tcPr>
            <w:tcW w:type="dxa" w:w="1872"/>
          </w:tcPr>
          <w:p>
            <w:r>
              <w:rPr>
                <w:rFonts w:ascii="Times New Roman" w:hAnsi="Times New Roman"/>
                <w:b/>
                <w:sz w:val="18"/>
              </w:rPr>
              <w:t>Regulated Genes (n)</w:t>
            </w:r>
          </w:p>
        </w:tc>
      </w:tr>
      <w:tr>
        <w:tc>
          <w:tcPr>
            <w:tcW w:type="dxa" w:w="1872"/>
          </w:tcPr>
          <w:p>
            <w:r>
              <w:rPr>
                <w:rFonts w:ascii="Times New Roman" w:hAnsi="Times New Roman"/>
                <w:sz w:val="18"/>
              </w:rPr>
              <w:t>hsa-miR-140-5p</w:t>
            </w:r>
          </w:p>
        </w:tc>
        <w:tc>
          <w:tcPr>
            <w:tcW w:type="dxa" w:w="1872"/>
          </w:tcPr>
          <w:p>
            <w:r>
              <w:rPr>
                <w:rFonts w:ascii="Times New Roman" w:hAnsi="Times New Roman"/>
                <w:sz w:val="18"/>
              </w:rPr>
              <w:t>8.7</w:t>
            </w:r>
          </w:p>
        </w:tc>
        <w:tc>
          <w:tcPr>
            <w:tcW w:type="dxa" w:w="1872"/>
          </w:tcPr>
          <w:p>
            <w:r>
              <w:rPr>
                <w:rFonts w:ascii="Times New Roman" w:hAnsi="Times New Roman"/>
                <w:sz w:val="18"/>
              </w:rPr>
              <w:t>Chondrogenesis</w:t>
            </w:r>
          </w:p>
        </w:tc>
        <w:tc>
          <w:tcPr>
            <w:tcW w:type="dxa" w:w="1872"/>
          </w:tcPr>
          <w:p>
            <w:r>
              <w:rPr>
                <w:rFonts w:ascii="Times New Roman" w:hAnsi="Times New Roman"/>
                <w:sz w:val="18"/>
              </w:rPr>
              <w:t>Late (0.7-1.0)</w:t>
            </w:r>
          </w:p>
        </w:tc>
        <w:tc>
          <w:tcPr>
            <w:tcW w:type="dxa" w:w="1872"/>
          </w:tcPr>
          <w:p>
            <w:r>
              <w:rPr>
                <w:rFonts w:ascii="Times New Roman" w:hAnsi="Times New Roman"/>
                <w:sz w:val="18"/>
              </w:rPr>
              <w:t>142</w:t>
            </w:r>
          </w:p>
        </w:tc>
      </w:tr>
      <w:tr>
        <w:tc>
          <w:tcPr>
            <w:tcW w:type="dxa" w:w="1872"/>
          </w:tcPr>
          <w:p>
            <w:r>
              <w:rPr>
                <w:rFonts w:ascii="Times New Roman" w:hAnsi="Times New Roman"/>
                <w:sz w:val="18"/>
              </w:rPr>
              <w:t>hsa-miR-29a-3p</w:t>
            </w:r>
          </w:p>
        </w:tc>
        <w:tc>
          <w:tcPr>
            <w:tcW w:type="dxa" w:w="1872"/>
          </w:tcPr>
          <w:p>
            <w:r>
              <w:rPr>
                <w:rFonts w:ascii="Times New Roman" w:hAnsi="Times New Roman"/>
                <w:sz w:val="18"/>
              </w:rPr>
              <w:t>8.2</w:t>
            </w:r>
          </w:p>
        </w:tc>
        <w:tc>
          <w:tcPr>
            <w:tcW w:type="dxa" w:w="1872"/>
          </w:tcPr>
          <w:p>
            <w:r>
              <w:rPr>
                <w:rFonts w:ascii="Times New Roman" w:hAnsi="Times New Roman"/>
                <w:sz w:val="18"/>
              </w:rPr>
              <w:t>Anti-fibrosis</w:t>
            </w:r>
          </w:p>
        </w:tc>
        <w:tc>
          <w:tcPr>
            <w:tcW w:type="dxa" w:w="1872"/>
          </w:tcPr>
          <w:p>
            <w:r>
              <w:rPr>
                <w:rFonts w:ascii="Times New Roman" w:hAnsi="Times New Roman"/>
                <w:sz w:val="18"/>
              </w:rPr>
              <w:t>Late (0.7-1.0)</w:t>
            </w:r>
          </w:p>
        </w:tc>
        <w:tc>
          <w:tcPr>
            <w:tcW w:type="dxa" w:w="1872"/>
          </w:tcPr>
          <w:p>
            <w:r>
              <w:rPr>
                <w:rFonts w:ascii="Times New Roman" w:hAnsi="Times New Roman"/>
                <w:sz w:val="18"/>
              </w:rPr>
              <w:t>98</w:t>
            </w:r>
          </w:p>
        </w:tc>
      </w:tr>
      <w:tr>
        <w:tc>
          <w:tcPr>
            <w:tcW w:type="dxa" w:w="1872"/>
          </w:tcPr>
          <w:p>
            <w:r>
              <w:rPr>
                <w:rFonts w:ascii="Times New Roman" w:hAnsi="Times New Roman"/>
                <w:sz w:val="18"/>
              </w:rPr>
              <w:t>hsa-miR-223-3p</w:t>
            </w:r>
          </w:p>
        </w:tc>
        <w:tc>
          <w:tcPr>
            <w:tcW w:type="dxa" w:w="1872"/>
          </w:tcPr>
          <w:p>
            <w:r>
              <w:rPr>
                <w:rFonts w:ascii="Times New Roman" w:hAnsi="Times New Roman"/>
                <w:sz w:val="18"/>
              </w:rPr>
              <w:t>7.9</w:t>
            </w:r>
          </w:p>
        </w:tc>
        <w:tc>
          <w:tcPr>
            <w:tcW w:type="dxa" w:w="1872"/>
          </w:tcPr>
          <w:p>
            <w:r>
              <w:rPr>
                <w:rFonts w:ascii="Times New Roman" w:hAnsi="Times New Roman"/>
                <w:sz w:val="18"/>
              </w:rPr>
              <w:t>Inflammation modulation</w:t>
            </w:r>
          </w:p>
        </w:tc>
        <w:tc>
          <w:tcPr>
            <w:tcW w:type="dxa" w:w="1872"/>
          </w:tcPr>
          <w:p>
            <w:r>
              <w:rPr>
                <w:rFonts w:ascii="Times New Roman" w:hAnsi="Times New Roman"/>
                <w:sz w:val="18"/>
              </w:rPr>
              <w:t>Early (0-0.33)</w:t>
            </w:r>
          </w:p>
        </w:tc>
        <w:tc>
          <w:tcPr>
            <w:tcW w:type="dxa" w:w="1872"/>
          </w:tcPr>
          <w:p>
            <w:r>
              <w:rPr>
                <w:rFonts w:ascii="Times New Roman" w:hAnsi="Times New Roman"/>
                <w:sz w:val="18"/>
              </w:rPr>
              <w:t>87</w:t>
            </w:r>
          </w:p>
        </w:tc>
      </w:tr>
      <w:tr>
        <w:tc>
          <w:tcPr>
            <w:tcW w:type="dxa" w:w="1872"/>
          </w:tcPr>
          <w:p>
            <w:r>
              <w:rPr>
                <w:rFonts w:ascii="Times New Roman" w:hAnsi="Times New Roman"/>
                <w:sz w:val="18"/>
              </w:rPr>
              <w:t>hsa-miR-let-7a-5p</w:t>
            </w:r>
          </w:p>
        </w:tc>
        <w:tc>
          <w:tcPr>
            <w:tcW w:type="dxa" w:w="1872"/>
          </w:tcPr>
          <w:p>
            <w:r>
              <w:rPr>
                <w:rFonts w:ascii="Times New Roman" w:hAnsi="Times New Roman"/>
                <w:sz w:val="18"/>
              </w:rPr>
              <w:t>7.6</w:t>
            </w:r>
          </w:p>
        </w:tc>
        <w:tc>
          <w:tcPr>
            <w:tcW w:type="dxa" w:w="1872"/>
          </w:tcPr>
          <w:p>
            <w:r>
              <w:rPr>
                <w:rFonts w:ascii="Times New Roman" w:hAnsi="Times New Roman"/>
                <w:sz w:val="18"/>
              </w:rPr>
              <w:t>Cell cycle regulation</w:t>
            </w:r>
          </w:p>
        </w:tc>
        <w:tc>
          <w:tcPr>
            <w:tcW w:type="dxa" w:w="1872"/>
          </w:tcPr>
          <w:p>
            <w:r>
              <w:rPr>
                <w:rFonts w:ascii="Times New Roman" w:hAnsi="Times New Roman"/>
                <w:sz w:val="18"/>
              </w:rPr>
              <w:t>Late (0.7-1.0)</w:t>
            </w:r>
          </w:p>
        </w:tc>
        <w:tc>
          <w:tcPr>
            <w:tcW w:type="dxa" w:w="1872"/>
          </w:tcPr>
          <w:p>
            <w:r>
              <w:rPr>
                <w:rFonts w:ascii="Times New Roman" w:hAnsi="Times New Roman"/>
                <w:sz w:val="18"/>
              </w:rPr>
              <w:t>156</w:t>
            </w:r>
          </w:p>
        </w:tc>
      </w:tr>
    </w:tbl>
    <w:p/>
    <w:p>
      <w:r>
        <w:br w:type="page"/>
      </w:r>
    </w:p>
    <w:p>
      <w:pPr>
        <w:pStyle w:val="Heading1"/>
      </w:pPr>
      <w:r>
        <w:rPr>
          <w:rFonts w:ascii="Times New Roman" w:hAnsi="Times New Roman"/>
          <w:color w:val="000000"/>
        </w:rPr>
        <w:t>2. Analysis Summary and Computational Methods</w:t>
      </w:r>
    </w:p>
    <w:p>
      <w:pPr>
        <w:spacing w:after="160"/>
      </w:pPr>
      <w:r>
        <w:rPr>
          <w:rFonts w:ascii="Times New Roman" w:hAnsi="Times New Roman"/>
          <w:b w:val="0"/>
          <w:i w:val="0"/>
          <w:sz w:val="22"/>
        </w:rPr>
        <w:t>This section provides comprehensive details on all computational pipelines, software versions, parameter settings, and quality control thresholds used in this study. Full reproducibility is ensured through publicly available code repositories (see Section 4: Data Availability Statement).</w:t>
      </w:r>
    </w:p>
    <w:p>
      <w:pPr>
        <w:pStyle w:val="Heading3"/>
      </w:pPr>
      <w:r>
        <w:rPr>
          <w:rFonts w:ascii="Times New Roman" w:hAnsi="Times New Roman"/>
          <w:color w:val="000000"/>
        </w:rPr>
        <w:t>2.1 Single-cell RNA-seq Preprocessing (Seurat v5.1.0)</w:t>
      </w:r>
    </w:p>
    <w:p>
      <w:pPr>
        <w:spacing w:after="60"/>
      </w:pPr>
      <w:r>
        <w:rPr>
          <w:rFonts w:ascii="Times New Roman" w:hAnsi="Times New Roman"/>
          <w:b/>
          <w:sz w:val="20"/>
        </w:rPr>
        <w:t xml:space="preserve">Software: </w:t>
      </w:r>
      <w:r>
        <w:rPr>
          <w:rFonts w:ascii="Times New Roman" w:hAnsi="Times New Roman"/>
          <w:sz w:val="20"/>
        </w:rPr>
        <w:t>Seurat v5.1.0 (R package), R version 4.4.0</w:t>
      </w:r>
    </w:p>
    <w:p>
      <w:pPr>
        <w:spacing w:after="60"/>
      </w:pPr>
      <w:r>
        <w:rPr>
          <w:rFonts w:ascii="Times New Roman" w:hAnsi="Times New Roman"/>
          <w:b/>
          <w:sz w:val="20"/>
        </w:rPr>
        <w:t xml:space="preserve">Input data: </w:t>
      </w:r>
      <w:r>
        <w:rPr>
          <w:rFonts w:ascii="Times New Roman" w:hAnsi="Times New Roman"/>
          <w:sz w:val="20"/>
        </w:rPr>
        <w:t>GSE133449 raw count matrix; 6,759 cells × ~20,000 genes</w:t>
      </w:r>
    </w:p>
    <w:p>
      <w:pPr>
        <w:spacing w:after="60"/>
      </w:pPr>
      <w:r>
        <w:rPr>
          <w:rFonts w:ascii="Times New Roman" w:hAnsi="Times New Roman"/>
          <w:b/>
          <w:sz w:val="20"/>
        </w:rPr>
        <w:t xml:space="preserve">Quality Control - Cell filtering: </w:t>
      </w:r>
      <w:r>
        <w:rPr>
          <w:rFonts w:ascii="Times New Roman" w:hAnsi="Times New Roman"/>
          <w:sz w:val="20"/>
        </w:rPr>
        <w:t>nFeature_RNA: [200, 7500] | percent.mt &lt; 15% | percent.ribo &lt; 50%</w:t>
      </w:r>
    </w:p>
    <w:p>
      <w:pPr>
        <w:spacing w:after="60"/>
      </w:pPr>
      <w:r>
        <w:rPr>
          <w:rFonts w:ascii="Times New Roman" w:hAnsi="Times New Roman"/>
          <w:b/>
          <w:sz w:val="20"/>
        </w:rPr>
        <w:t xml:space="preserve">QC rationale: </w:t>
      </w:r>
      <w:r>
        <w:rPr>
          <w:rFonts w:ascii="Times New Roman" w:hAnsi="Times New Roman"/>
          <w:sz w:val="20"/>
        </w:rPr>
        <w:t>Lower bound removes empty droplets and debris; upper bound removes doublets. Mitochondrial threshold follows standard scRNA-seq convention (Ilic et al., 2016)</w:t>
      </w:r>
    </w:p>
    <w:p>
      <w:pPr>
        <w:spacing w:after="60"/>
      </w:pPr>
      <w:r>
        <w:rPr>
          <w:rFonts w:ascii="Times New Roman" w:hAnsi="Times New Roman"/>
          <w:b/>
          <w:sz w:val="20"/>
        </w:rPr>
        <w:t xml:space="preserve">Normalization: </w:t>
      </w:r>
      <w:r>
        <w:rPr>
          <w:rFonts w:ascii="Times New Roman" w:hAnsi="Times New Roman"/>
          <w:sz w:val="20"/>
        </w:rPr>
        <w:t>SCTransform (Hafemeister &amp; Satija, 2019) with default params: variable.features.n = 3000, vars.to.regress = "percent.mt"</w:t>
      </w:r>
    </w:p>
    <w:p>
      <w:pPr>
        <w:spacing w:after="60"/>
      </w:pPr>
      <w:r>
        <w:rPr>
          <w:rFonts w:ascii="Times New Roman" w:hAnsi="Times New Roman"/>
          <w:b/>
          <w:sz w:val="20"/>
        </w:rPr>
        <w:t xml:space="preserve">Dimensionality reduction: </w:t>
      </w:r>
      <w:r>
        <w:rPr>
          <w:rFonts w:ascii="Times New Roman" w:hAnsi="Times New Roman"/>
          <w:sz w:val="20"/>
        </w:rPr>
        <w:t>PCA on top 3000 HVGs; ElbowPlot used to select PCs 1:30</w:t>
      </w:r>
    </w:p>
    <w:p>
      <w:pPr>
        <w:spacing w:after="60"/>
      </w:pPr>
      <w:r>
        <w:rPr>
          <w:rFonts w:ascii="Times New Roman" w:hAnsi="Times New Roman"/>
          <w:b/>
          <w:sz w:val="20"/>
        </w:rPr>
        <w:t xml:space="preserve">Clustering: </w:t>
      </w:r>
      <w:r>
        <w:rPr>
          <w:rFonts w:ascii="Times New Roman" w:hAnsi="Times New Roman"/>
          <w:sz w:val="20"/>
        </w:rPr>
        <w:t>FindNeighbors(dims = 1:20, k.param = 20) followed by FindClusters(resolution = 0.8)</w:t>
      </w:r>
    </w:p>
    <w:p>
      <w:pPr>
        <w:spacing w:after="60"/>
      </w:pPr>
      <w:r>
        <w:rPr>
          <w:rFonts w:ascii="Times New Roman" w:hAnsi="Times New Roman"/>
          <w:b/>
          <w:sz w:val="20"/>
        </w:rPr>
        <w:t xml:space="preserve">Resolution selection: </w:t>
      </w:r>
      <w:r>
        <w:rPr>
          <w:rFonts w:ascii="Times New Roman" w:hAnsi="Times New Roman"/>
          <w:sz w:val="20"/>
        </w:rPr>
        <w:t>Tested resolution range [0.2, 1.5]; 0.8 chosen by silhouette width maximization (max silhouette = 0.42 at res=0.8)</w:t>
      </w:r>
    </w:p>
    <w:p>
      <w:pPr>
        <w:spacing w:after="60"/>
      </w:pPr>
      <w:r>
        <w:rPr>
          <w:rFonts w:ascii="Times New Roman" w:hAnsi="Times New Roman"/>
          <w:b/>
          <w:sz w:val="20"/>
        </w:rPr>
        <w:t xml:space="preserve">Non-linear embedding: </w:t>
      </w:r>
      <w:r>
        <w:rPr>
          <w:rFonts w:ascii="Times New Roman" w:hAnsi="Times New Roman"/>
          <w:sz w:val="20"/>
        </w:rPr>
        <w:t>UMAP (umap-learn v0.5.4) with n_neighbors = 30, min_dist = 0.3, metric = "correlation"</w:t>
      </w:r>
    </w:p>
    <w:p>
      <w:pPr>
        <w:spacing w:after="60"/>
      </w:pPr>
      <w:r>
        <w:rPr>
          <w:rFonts w:ascii="Times New Roman" w:hAnsi="Times New Roman"/>
          <w:b/>
          <w:sz w:val="20"/>
        </w:rPr>
        <w:t xml:space="preserve">Cell type annotation: </w:t>
      </w:r>
      <w:r>
        <w:rPr>
          <w:rFonts w:ascii="Times New Roman" w:hAnsi="Times New Roman"/>
          <w:sz w:val="20"/>
        </w:rPr>
        <w:t>Manual annotation using canonical markers + SingleR (v2.0.0) auto-annotation with HumanPrimaryCellAtlasData reference; consensus of both methods required</w:t>
      </w:r>
    </w:p>
    <w:p>
      <w:pPr>
        <w:pStyle w:val="Heading3"/>
      </w:pPr>
      <w:r>
        <w:rPr>
          <w:rFonts w:ascii="Times New Roman" w:hAnsi="Times New Roman"/>
          <w:color w:val="000000"/>
        </w:rPr>
        <w:t>2.2 Intercellular Communication Analysis (CellChat v1.6.0)</w:t>
      </w:r>
    </w:p>
    <w:p>
      <w:pPr>
        <w:spacing w:after="60"/>
      </w:pPr>
      <w:r>
        <w:rPr>
          <w:rFonts w:ascii="Times New Roman" w:hAnsi="Times New Roman"/>
          <w:b/>
          <w:sz w:val="20"/>
        </w:rPr>
        <w:t xml:space="preserve">Software: </w:t>
      </w:r>
      <w:r>
        <w:rPr>
          <w:rFonts w:ascii="Times New Roman" w:hAnsi="Times New Roman"/>
          <w:sz w:val="20"/>
        </w:rPr>
        <w:t>CellChat v1.6.0 (R package)</w:t>
      </w:r>
    </w:p>
    <w:p>
      <w:pPr>
        <w:spacing w:after="60"/>
      </w:pPr>
      <w:r>
        <w:rPr>
          <w:rFonts w:ascii="Times New Roman" w:hAnsi="Times New Roman"/>
          <w:b/>
          <w:sz w:val="20"/>
        </w:rPr>
        <w:t xml:space="preserve">Database: </w:t>
      </w:r>
      <w:r>
        <w:rPr>
          <w:rFonts w:ascii="Times New Roman" w:hAnsi="Times New Roman"/>
          <w:sz w:val="20"/>
        </w:rPr>
        <w:t>CellChatDB.human (included in CellChat); specifically using the "Secreted Signaling" subset</w:t>
      </w:r>
    </w:p>
    <w:p>
      <w:pPr>
        <w:spacing w:after="60"/>
      </w:pPr>
      <w:r>
        <w:rPr>
          <w:rFonts w:ascii="Times New Roman" w:hAnsi="Times New Roman"/>
          <w:b/>
          <w:sz w:val="20"/>
        </w:rPr>
        <w:t xml:space="preserve">Population size handling: </w:t>
      </w:r>
      <w:r>
        <w:rPr>
          <w:rFonts w:ascii="Times New Roman" w:hAnsi="Times New Roman"/>
          <w:sz w:val="20"/>
        </w:rPr>
        <w:t>No correction applied; raw cell counts used as population sizes (n ranging from 31 to 2,196 per cluster). Subsampling was NOT performed to preserve rare populations.</w:t>
      </w:r>
    </w:p>
    <w:p>
      <w:pPr>
        <w:spacing w:after="60"/>
      </w:pPr>
      <w:r>
        <w:rPr>
          <w:rFonts w:ascii="Times New Roman" w:hAnsi="Times New Roman"/>
          <w:b/>
          <w:sz w:val="20"/>
        </w:rPr>
        <w:t xml:space="preserve">Communication probability: </w:t>
      </w:r>
      <w:r>
        <w:rPr>
          <w:rFonts w:ascii="Times New Roman" w:hAnsi="Times New Roman"/>
          <w:sz w:val="20"/>
        </w:rPr>
        <w:t>Default law = "truncated_mean"; threshold for significant interaction: p-value &lt; 0.01 (permutation test, 1000 permutations)</w:t>
      </w:r>
    </w:p>
    <w:p>
      <w:pPr>
        <w:spacing w:after="60"/>
      </w:pPr>
      <w:r>
        <w:rPr>
          <w:rFonts w:ascii="Times New Roman" w:hAnsi="Times New Roman"/>
          <w:b/>
          <w:sz w:val="20"/>
        </w:rPr>
        <w:t xml:space="preserve">Pathway aggregation: </w:t>
      </w:r>
      <w:r>
        <w:rPr>
          <w:rFonts w:ascii="Times New Roman" w:hAnsi="Times New Roman"/>
          <w:sz w:val="20"/>
        </w:rPr>
        <w:t>Ligand-receptor pairs aggregated into signaling pathways per CellChatDB hierarchy</w:t>
      </w:r>
    </w:p>
    <w:p>
      <w:pPr>
        <w:spacing w:after="60"/>
      </w:pPr>
      <w:r>
        <w:rPr>
          <w:rFonts w:ascii="Times New Roman" w:hAnsi="Times New Roman"/>
          <w:b/>
          <w:sz w:val="20"/>
        </w:rPr>
        <w:t xml:space="preserve">Visualization thresholds: </w:t>
      </w:r>
      <w:r>
        <w:rPr>
          <w:rFonts w:ascii="Times New Roman" w:hAnsi="Times New Roman"/>
          <w:sz w:val="20"/>
        </w:rPr>
        <w:t>Network edges shown only for interaction probability &gt; 0.05 (weak filter) or &gt; 0.15 (strong filter) depending on figure panel</w:t>
      </w:r>
    </w:p>
    <w:p>
      <w:pPr>
        <w:spacing w:after="60"/>
      </w:pPr>
      <w:r>
        <w:rPr>
          <w:rFonts w:ascii="Times New Roman" w:hAnsi="Times New Roman"/>
          <w:b/>
          <w:sz w:val="20"/>
        </w:rPr>
        <w:t xml:space="preserve">Differential communication: </w:t>
      </w:r>
      <w:r>
        <w:rPr>
          <w:rFonts w:ascii="Times New Roman" w:hAnsi="Times New Roman"/>
          <w:sz w:val="20"/>
        </w:rPr>
        <w:t>computeCommunProbPathway() with type = "paired" for comparing early vs late degeneration states along pseudotime</w:t>
      </w:r>
    </w:p>
    <w:p>
      <w:pPr>
        <w:pStyle w:val="Heading3"/>
      </w:pPr>
      <w:r>
        <w:rPr>
          <w:rFonts w:ascii="Times New Roman" w:hAnsi="Times New Roman"/>
          <w:color w:val="000000"/>
        </w:rPr>
        <w:t>2.3 Transcription Factor Regulatory Network Analysis (SCENIC v1.3.0)</w:t>
      </w:r>
    </w:p>
    <w:p>
      <w:pPr>
        <w:spacing w:after="60"/>
      </w:pPr>
      <w:r>
        <w:rPr>
          <w:rFonts w:ascii="Times New Roman" w:hAnsi="Times New Roman"/>
          <w:b/>
          <w:sz w:val="20"/>
        </w:rPr>
        <w:t xml:space="preserve">Software: </w:t>
      </w:r>
      <w:r>
        <w:rPr>
          <w:rFonts w:ascii="Times New Roman" w:hAnsi="Times New Roman"/>
          <w:sz w:val="20"/>
        </w:rPr>
        <w:t>SCENIC v1.3.0 (R/AUCell pipeline); GENIE3 v1.40.0 for TF-target inference</w:t>
      </w:r>
    </w:p>
    <w:p>
      <w:pPr>
        <w:spacing w:after="60"/>
      </w:pPr>
      <w:r>
        <w:rPr>
          <w:rFonts w:ascii="Times New Roman" w:hAnsi="Times New Roman"/>
          <w:b/>
          <w:sz w:val="20"/>
        </w:rPr>
        <w:t xml:space="preserve">Co-expression modules: </w:t>
      </w:r>
      <w:r>
        <w:rPr>
          <w:rFonts w:ascii="Times New Roman" w:hAnsi="Times New Roman"/>
          <w:sz w:val="20"/>
        </w:rPr>
        <w:t>minSamples = 0.05 × n_cells (~338 cells); maxRank = 5000; adj_method = "fdr", cutoff = 0.01</w:t>
      </w:r>
    </w:p>
    <w:p>
      <w:pPr>
        <w:spacing w:after="60"/>
      </w:pPr>
      <w:r>
        <w:rPr>
          <w:rFonts w:ascii="Times New Roman" w:hAnsi="Times New Roman"/>
          <w:b/>
          <w:sz w:val="20"/>
        </w:rPr>
        <w:t xml:space="preserve">Motif enrichment: </w:t>
      </w:r>
      <w:r>
        <w:rPr>
          <w:rFonts w:ascii="Times New Roman" w:hAnsi="Times New Roman"/>
          <w:sz w:val="20"/>
        </w:rPr>
        <w:t>RcisTarget database: hg38__mc10nr__promoter__500bp__upstream.feather; motifAnnotation_hgnc_v9; NES threshold = 3.0 (conservative)</w:t>
      </w:r>
    </w:p>
    <w:p>
      <w:pPr>
        <w:spacing w:after="60"/>
      </w:pPr>
      <w:r>
        <w:rPr>
          <w:rFonts w:ascii="Times New Roman" w:hAnsi="Times New Roman"/>
          <w:b/>
          <w:sz w:val="20"/>
        </w:rPr>
        <w:t xml:space="preserve">AUCell activity scoring: </w:t>
      </w:r>
      <w:r>
        <w:rPr>
          <w:rFonts w:ascii="Times New Roman" w:hAnsi="Times New Roman"/>
          <w:sz w:val="20"/>
        </w:rPr>
        <w:t>aucMaxRank = min(5000, 0.05 * nCells); regulons with AUCell score &gt; 0.08 in &gt;10% of cells retained</w:t>
      </w:r>
    </w:p>
    <w:p>
      <w:pPr>
        <w:spacing w:after="60"/>
      </w:pPr>
      <w:r>
        <w:rPr>
          <w:rFonts w:ascii="Times New Roman" w:hAnsi="Times New Roman"/>
          <w:b/>
          <w:sz w:val="20"/>
        </w:rPr>
        <w:t xml:space="preserve">Binarization: </w:t>
      </w:r>
      <w:r>
        <w:rPr>
          <w:rFonts w:ascii="Times New Roman" w:hAnsi="Times New Roman"/>
          <w:sz w:val="20"/>
        </w:rPr>
        <w:t>Threshold determined by automated method (AUCell-explore); regulon specificity score (RSS) used to identify cell-type-specific regulons</w:t>
      </w:r>
    </w:p>
    <w:p>
      <w:pPr>
        <w:spacing w:after="60"/>
      </w:pPr>
      <w:r>
        <w:rPr>
          <w:rFonts w:ascii="Times New Roman" w:hAnsi="Times New Roman"/>
          <w:b/>
          <w:sz w:val="20"/>
        </w:rPr>
        <w:t xml:space="preserve">Output: </w:t>
      </w:r>
      <w:r>
        <w:rPr>
          <w:rFonts w:ascii="Times New Roman" w:hAnsi="Times New Roman"/>
          <w:sz w:val="20"/>
        </w:rPr>
        <w:t>Binary activity matrix (cells × regulons); RSS heatmap for top 20 regulons per major cell group</w:t>
      </w:r>
    </w:p>
    <w:p>
      <w:pPr>
        <w:pStyle w:val="Heading3"/>
      </w:pPr>
      <w:r>
        <w:rPr>
          <w:rFonts w:ascii="Times New Roman" w:hAnsi="Times New Roman"/>
          <w:color w:val="000000"/>
        </w:rPr>
        <w:t>2.4 Pseudotime Trajectory Analysis (Monocle3 v1.4.0)</w:t>
      </w:r>
    </w:p>
    <w:p>
      <w:pPr>
        <w:spacing w:after="60"/>
      </w:pPr>
      <w:r>
        <w:rPr>
          <w:rFonts w:ascii="Times New Roman" w:hAnsi="Times New Roman"/>
          <w:b/>
          <w:sz w:val="20"/>
        </w:rPr>
        <w:t xml:space="preserve">Software: </w:t>
      </w:r>
      <w:r>
        <w:rPr>
          <w:rFonts w:ascii="Times New Roman" w:hAnsi="Times New Roman"/>
          <w:sz w:val="20"/>
        </w:rPr>
        <w:t>Monocle3 v1.4.0 (Bioconductor); dependent on single-cell experiments v1.11.0</w:t>
      </w:r>
    </w:p>
    <w:p>
      <w:pPr>
        <w:spacing w:after="60"/>
      </w:pPr>
      <w:r>
        <w:rPr>
          <w:rFonts w:ascii="Times New Roman" w:hAnsi="Times New Roman"/>
          <w:b/>
          <w:sz w:val="20"/>
        </w:rPr>
        <w:t xml:space="preserve">Input: </w:t>
      </w:r>
      <w:r>
        <w:rPr>
          <w:rFonts w:ascii="Times New Roman" w:hAnsi="Times New Roman"/>
          <w:sz w:val="20"/>
        </w:rPr>
        <w:t>Seurat object converted to cell_data_set format; UMAP coordinates transferred as reducedDims</w:t>
      </w:r>
    </w:p>
    <w:p>
      <w:pPr>
        <w:spacing w:after="60"/>
      </w:pPr>
      <w:r>
        <w:rPr>
          <w:rFonts w:ascii="Times New Roman" w:hAnsi="Times New Roman"/>
          <w:b/>
          <w:sz w:val="20"/>
        </w:rPr>
        <w:t xml:space="preserve">Root node selection: </w:t>
      </w:r>
      <w:r>
        <w:rPr>
          <w:rFonts w:ascii="Times New Roman" w:hAnsi="Times New Roman"/>
          <w:sz w:val="20"/>
        </w:rPr>
        <w:t>FC-ECM cluster designated as the root node based on the following biological criteria: (1) FC-ECM expresses the highest levels of homeostatic ECM genes (COL1A1, COL3A1, DCN) consistent with healthy native meniscus tissue; (2) FC-ECM has the lowest expression of degeneration markers (MMP3, MMP13, ADAMTS5); (3) Prior literature establishes fibrochondrocytes as the primary resident cell population of healthy meniscus; (4) The trajectory direction from FC-ECM through FC-Regulatory to FC-Degenerated recapitulates known pathological progression</w:t>
      </w:r>
    </w:p>
    <w:p>
      <w:pPr>
        <w:spacing w:after="60"/>
      </w:pPr>
      <w:r>
        <w:rPr>
          <w:rFonts w:ascii="Times New Roman" w:hAnsi="Times New Roman"/>
          <w:b/>
          <w:sz w:val="20"/>
        </w:rPr>
        <w:t xml:space="preserve">Graph learning: </w:t>
      </w:r>
      <w:r>
        <w:rPr>
          <w:rFonts w:ascii="Times New Roman" w:hAnsi="Times New Roman"/>
          <w:sz w:val="20"/>
        </w:rPr>
        <w:t>learn_graph(use_partition = FALSE); trajectory learned on UMAP space</w:t>
      </w:r>
    </w:p>
    <w:p>
      <w:pPr>
        <w:spacing w:after="60"/>
      </w:pPr>
      <w:r>
        <w:rPr>
          <w:rFonts w:ascii="Times New Roman" w:hAnsi="Times New Roman"/>
          <w:b/>
          <w:sz w:val="20"/>
        </w:rPr>
        <w:t xml:space="preserve">Pseudotime ordering: </w:t>
      </w:r>
      <w:r>
        <w:rPr>
          <w:rFonts w:ascii="Times New Roman" w:hAnsi="Times New Roman"/>
          <w:sz w:val="20"/>
        </w:rPr>
        <w:t>order_cells(root_cells = FC-ECM_annotated_cells); pseudotime scaled to [0, 1] where 0 = root (healthy) and 1 = terminal (fully degenerated)</w:t>
      </w:r>
    </w:p>
    <w:p>
      <w:pPr>
        <w:spacing w:after="60"/>
      </w:pPr>
      <w:r>
        <w:rPr>
          <w:rFonts w:ascii="Times New Roman" w:hAnsi="Times New Roman"/>
          <w:b/>
          <w:sz w:val="20"/>
        </w:rPr>
        <w:t xml:space="preserve">Stage partitioning: </w:t>
      </w:r>
      <w:r>
        <w:rPr>
          <w:rFonts w:ascii="Times New Roman" w:hAnsi="Times New Roman"/>
          <w:sz w:val="20"/>
        </w:rPr>
        <w:t>Continuous pseudotime discretized into 3 stages: Early [0, 0.33], Mid (0.34, 0.66], Late (0.67, 1.0]</w:t>
      </w:r>
    </w:p>
    <w:p>
      <w:pPr>
        <w:spacing w:after="60"/>
      </w:pPr>
      <w:r>
        <w:rPr>
          <w:rFonts w:ascii="Times New Roman" w:hAnsi="Times New Roman"/>
          <w:b/>
          <w:sz w:val="20"/>
        </w:rPr>
        <w:t xml:space="preserve">Genes tested for dynamic expression: </w:t>
      </w:r>
      <w:r>
        <w:rPr>
          <w:rFonts w:ascii="Times New Roman" w:hAnsi="Times New Roman"/>
          <w:sz w:val="20"/>
        </w:rPr>
        <w:t>tradeSeq (v1.22.0) used for smoothing; nbslots = 4; nknots = 6; genes with q-value &lt; 0.05 in likelihood ratio test classified as dynamic</w:t>
      </w:r>
    </w:p>
    <w:p>
      <w:pPr>
        <w:pStyle w:val="Heading3"/>
      </w:pPr>
      <w:r>
        <w:rPr>
          <w:rFonts w:ascii="Times New Roman" w:hAnsi="Times New Roman"/>
          <w:color w:val="000000"/>
        </w:rPr>
        <w:t>2.5 Molecular Docking and Cargo-Target Validation</w:t>
      </w:r>
    </w:p>
    <w:p>
      <w:pPr>
        <w:spacing w:after="60"/>
      </w:pPr>
      <w:r>
        <w:rPr>
          <w:rFonts w:ascii="Times New Roman" w:hAnsi="Times New Roman"/>
          <w:b/>
          <w:sz w:val="20"/>
        </w:rPr>
        <w:t xml:space="preserve">Software: </w:t>
      </w:r>
      <w:r>
        <w:rPr>
          <w:rFonts w:ascii="Times New Roman" w:hAnsi="Times New Roman"/>
          <w:sz w:val="20"/>
        </w:rPr>
        <w:t>AutoDock Vina v1.2.3 for docking simulations; PyMOL v2.5 for visualization</w:t>
      </w:r>
    </w:p>
    <w:p>
      <w:pPr>
        <w:spacing w:after="60"/>
      </w:pPr>
      <w:r>
        <w:rPr>
          <w:rFonts w:ascii="Times New Roman" w:hAnsi="Times New Roman"/>
          <w:b/>
          <w:sz w:val="20"/>
        </w:rPr>
        <w:t xml:space="preserve">Receptor structures: </w:t>
      </w:r>
      <w:r>
        <w:rPr>
          <w:rFonts w:ascii="Times New Roman" w:hAnsi="Times New Roman"/>
          <w:sz w:val="20"/>
        </w:rPr>
        <w:t>Retrieved from AlphaFold DB (Jumper et al., 2021) or PDB; selected based on highest coverage and confidence score (pLDDT &gt; 70 required)</w:t>
      </w:r>
    </w:p>
    <w:p>
      <w:pPr>
        <w:spacing w:after="60"/>
      </w:pPr>
      <w:r>
        <w:rPr>
          <w:rFonts w:ascii="Times New Roman" w:hAnsi="Times New Roman"/>
          <w:b/>
          <w:sz w:val="20"/>
        </w:rPr>
        <w:t xml:space="preserve">Ligand preparation: </w:t>
      </w:r>
      <w:r>
        <w:rPr>
          <w:rFonts w:ascii="Times New Roman" w:hAnsi="Times New Roman"/>
          <w:sz w:val="20"/>
        </w:rPr>
        <w:t>Exosomal proteins/miRNA target sites prepared via Open Babel v3.1.1; Gasteiger charges assigned; torsion degrees of freedom set automatically</w:t>
      </w:r>
    </w:p>
    <w:p>
      <w:pPr>
        <w:spacing w:after="60"/>
      </w:pPr>
      <w:r>
        <w:rPr>
          <w:rFonts w:ascii="Times New Roman" w:hAnsi="Times New Roman"/>
          <w:b/>
          <w:sz w:val="20"/>
        </w:rPr>
        <w:t xml:space="preserve">Docking grid box: </w:t>
      </w:r>
      <w:r>
        <w:rPr>
          <w:rFonts w:ascii="Times New Roman" w:hAnsi="Times New Roman"/>
          <w:sz w:val="20"/>
        </w:rPr>
        <w:t>Centered on receptor binding pocket (identified from PDBbind or literature); box size = 24 Ç 24 Ç 24 Å with 1 Å spacing</w:t>
      </w:r>
    </w:p>
    <w:p>
      <w:pPr>
        <w:spacing w:after="60"/>
      </w:pPr>
      <w:r>
        <w:rPr>
          <w:rFonts w:ascii="Times New Roman" w:hAnsi="Times New Roman"/>
          <w:b/>
          <w:sz w:val="20"/>
        </w:rPr>
        <w:t xml:space="preserve">Scoring: </w:t>
      </w:r>
      <w:r>
        <w:rPr>
          <w:rFonts w:ascii="Times New Roman" w:hAnsi="Times New Roman"/>
          <w:sz w:val="20"/>
        </w:rPr>
        <w:t>Vina affinity score (kcal/mol); binding considered favorable when ≤ -5.0 kcal/mol; strong binding when ≤ -7.0 kcal/mol</w:t>
      </w:r>
    </w:p>
    <w:p>
      <w:pPr>
        <w:spacing w:after="60"/>
      </w:pPr>
      <w:r>
        <w:rPr>
          <w:rFonts w:ascii="Times New Roman" w:hAnsi="Times New Roman"/>
          <w:b/>
          <w:sz w:val="20"/>
        </w:rPr>
        <w:t xml:space="preserve">Validation: </w:t>
      </w:r>
      <w:r>
        <w:rPr>
          <w:rFonts w:ascii="Times New Roman" w:hAnsi="Times New Roman"/>
          <w:sz w:val="20"/>
        </w:rPr>
        <w:t>Top 95 ligand-receptor pairs from CellChat analysis subjected to docking; 627 pairs produced valid docking poses; 67 pairs showed strong binding affinity</w:t>
      </w:r>
    </w:p>
    <w:p>
      <w:r>
        <w:br w:type="page"/>
      </w:r>
    </w:p>
    <w:p>
      <w:pPr>
        <w:pStyle w:val="Heading1"/>
      </w:pPr>
      <w:r>
        <w:rPr>
          <w:rFonts w:ascii="Times New Roman" w:hAnsi="Times New Roman"/>
          <w:color w:val="000000"/>
        </w:rPr>
        <w:t>3. Figure Legends</w:t>
      </w:r>
    </w:p>
    <w:p>
      <w:pPr>
        <w:pStyle w:val="Heading2"/>
      </w:pPr>
      <w:r>
        <w:rPr>
          <w:rFonts w:ascii="Times New Roman" w:hAnsi="Times New Roman"/>
          <w:color w:val="000000"/>
        </w:rPr>
        <w:t>Figure 1. Single-cell atlas identifies therapeutic targets for exosome-based meniscus repair</w:t>
      </w:r>
    </w:p>
    <w:p>
      <w:pPr>
        <w:spacing w:after="120"/>
      </w:pPr>
      <w:r>
        <w:rPr>
          <w:rFonts w:ascii="Times New Roman" w:hAnsi="Times New Roman"/>
          <w:b/>
          <w:sz w:val="20"/>
        </w:rPr>
        <w:t>Panel A — UMAP visualization of cellular heterogeneity</w:t>
        <w:br/>
      </w:r>
      <w:r>
        <w:rPr>
          <w:rFonts w:ascii="Times New Roman" w:hAnsi="Times New Roman"/>
          <w:sz w:val="20"/>
        </w:rPr>
        <w:t>Uniform Manifold Approximation and Projection (UMAP, McInnes et al., 2018) embedding of 6,759 quality-filtered single cells derived from human meniscus tissue (GEO accession GSE133449). Cells are colored by annotated cell type identity (17 distinct clusters resolved at resolution = 0.8). Key populations labeled: Endothelial (red; n=2,196, 32.5%), FC-ECM (blue; n=1,265, 18.7%), FC-Regulatory (green; n=1,028, 15.2%), Macrophage (orange; n=831, 12.3%), and additional 13 cell types (shades of gray). Distance metric: correlation; n_neighbors = 30; min_dist = 0.3.</w:t>
      </w:r>
    </w:p>
    <w:p>
      <w:pPr>
        <w:spacing w:after="120"/>
      </w:pPr>
      <w:r>
        <w:rPr>
          <w:rFonts w:ascii="Times New Roman" w:hAnsi="Times New Roman"/>
          <w:b/>
          <w:sz w:val="20"/>
        </w:rPr>
        <w:t>Panel B — Cell type composition bar plot</w:t>
        <w:br/>
      </w:r>
      <w:r>
        <w:rPr>
          <w:rFonts w:ascii="Times New Roman" w:hAnsi="Times New Roman"/>
          <w:sz w:val="20"/>
        </w:rPr>
        <w:t>Relative abundance of each of the 17 cell types displayed on a log₁₀-transformed y-axis to accommodate the wide dynamic range between abundant (Endothelial: 32.5%) and rare (Hypertrophic-Chondrocyte: 0.5%) populations. Error bars represent 95% confidence intervals calculated by bootstrap resampling (n=1,000 iterations).</w:t>
      </w:r>
    </w:p>
    <w:p>
      <w:pPr>
        <w:spacing w:after="120"/>
      </w:pPr>
      <w:r>
        <w:rPr>
          <w:rFonts w:ascii="Times New Roman" w:hAnsi="Times New Roman"/>
          <w:b/>
          <w:sz w:val="20"/>
        </w:rPr>
        <w:t>Panel C — Marker gene expression heatmap</w:t>
        <w:br/>
      </w:r>
      <w:r>
        <w:rPr>
          <w:rFonts w:ascii="Times New Roman" w:hAnsi="Times New Roman"/>
          <w:sz w:val="20"/>
        </w:rPr>
        <w:t>Row-scaled (z-score normalized) heatmap displaying the top 5 marker genes for each of the 17 cell types (85 genes total). Z-score computed per gene across all cells. Color scale: blue (−3) to red (+3). Hierarchical clustering applied to both rows (genes) and columns (cell types) using Euclidean distance and Ward.D2 linkage.</w:t>
      </w:r>
    </w:p>
    <w:p>
      <w:pPr>
        <w:spacing w:after="120"/>
      </w:pPr>
      <w:r>
        <w:rPr>
          <w:rFonts w:ascii="Times New Roman" w:hAnsi="Times New Roman"/>
          <w:b/>
          <w:sz w:val="20"/>
        </w:rPr>
        <w:t>Panel D — Multi-dimensional treatability radar chart</w:t>
        <w:br/>
      </w:r>
      <w:r>
        <w:rPr>
          <w:rFonts w:ascii="Times New Roman" w:hAnsi="Times New Roman"/>
          <w:sz w:val="20"/>
        </w:rPr>
        <w:t>Composite treatability score computed as weighted sum of three dimensions: (1) Receptor abundance — mean expression of cognate receptors for exosomal cargo within each cell type, scaled to [0,1]; (2) Cargo matching — number of high-confidence cargo-target interactions identified via CellChat, scaled to [0,1]; (3) Communication involvement — network centrality degree in the exosome-mediated communication network, scaled to [0,1]. Final score = 0.4 * ReceptorAbundance + 0.35 * CargoMatching + 0.25 * Centrality. Weights determined by sensitivity analysis maximizing separation between target and non-target cell types.</w:t>
      </w:r>
    </w:p>
    <w:p>
      <w:pPr>
        <w:spacing w:after="120"/>
      </w:pPr>
      <w:r>
        <w:rPr>
          <w:rFonts w:ascii="Times New Roman" w:hAnsi="Times New Roman"/>
          <w:b/>
          <w:sz w:val="20"/>
        </w:rPr>
        <w:t>Panel E — Protein cargo specificity scatter plot</w:t>
        <w:br/>
      </w:r>
      <w:r>
        <w:rPr>
          <w:rFonts w:ascii="Times New Roman" w:hAnsi="Times New Roman"/>
          <w:sz w:val="20"/>
        </w:rPr>
        <w:t>Two-dimensional specificity analysis comparing exosomal protein targeting preference between FC-ECM (early-stage, healthy-like fibrochondrocytes; x-axis) and FC-Degenerated (late-stage, pathological fibrochondrocytes; y-axis). Each point represents one of 57 quantified exosomal proteins. Specificity score = log₂(fold-enrichment of target gene expression in that cell type vs. all others). Diagonal line indicates equal specificity (slope = 1). Points above diagonal favor FC-Degenerated; points below favor FC-ECM.</w:t>
      </w:r>
    </w:p>
    <w:p>
      <w:r>
        <w:rPr>
          <w:rFonts w:ascii="Times New Roman" w:hAnsi="Times New Roman"/>
          <w:b/>
          <w:i/>
          <w:sz w:val="20"/>
        </w:rPr>
        <w:t xml:space="preserve">Figure 1 interpretation: </w:t>
      </w:r>
      <w:r>
        <w:rPr>
          <w:rFonts w:ascii="Times New Roman" w:hAnsi="Times New Roman"/>
          <w:i/>
          <w:sz w:val="20"/>
        </w:rPr>
        <w:t>This atlas establishes the cellular landscape of human meniscus tissue from public scRNA-seq data (GSE133449) and identifies Endothelial cells (composite treatability score: 0.841) and FC-Regulatory fibroblasts (0.769) as primary targets for exosome-based intervention based on integrated receptor abundance, cargo-receptor matching, and network centrality metrics.</w:t>
      </w:r>
    </w:p>
    <w:p/>
    <w:p>
      <w:pPr>
        <w:pStyle w:val="Heading2"/>
      </w:pPr>
      <w:r>
        <w:rPr>
          <w:rFonts w:ascii="Times New Roman" w:hAnsi="Times New Roman"/>
          <w:color w:val="000000"/>
        </w:rPr>
        <w:t>Figure 2. Exosomal cargo composition reveals dual-axis repair mechanisms</w:t>
      </w:r>
    </w:p>
    <w:p>
      <w:pPr>
        <w:spacing w:after="120"/>
      </w:pPr>
      <w:r>
        <w:rPr>
          <w:rFonts w:ascii="Times New Roman" w:hAnsi="Times New Roman"/>
          <w:b/>
          <w:sz w:val="20"/>
        </w:rPr>
        <w:t>Panel A — Protein cargo cell-type specificity heatmap</w:t>
        <w:br/>
      </w:r>
      <w:r>
        <w:rPr>
          <w:rFonts w:ascii="Times New Roman" w:hAnsi="Times New Roman"/>
          <w:sz w:val="20"/>
        </w:rPr>
        <w:t>Hierarchically clustered heatmap (Euclidean distance, Ward.D2 linkage) showing z-score-normalized cell-type specificity scores for the top 10 most informative exosomal proteins (columns) across all 17 cell types (rows). Specificity score defined as the −log₁₀(p-value) from a one-sided Wilcoxon rank-sum test comparing target gene expression in each cell type versus all others. Color scale: white (non-specific) to dark red (highly specific).</w:t>
      </w:r>
    </w:p>
    <w:p>
      <w:pPr>
        <w:spacing w:after="120"/>
      </w:pPr>
      <w:r>
        <w:rPr>
          <w:rFonts w:ascii="Times New Roman" w:hAnsi="Times New Roman"/>
          <w:b/>
          <w:sz w:val="20"/>
        </w:rPr>
        <w:t>Panel B — Top miRNA functional enrichment ranking</w:t>
        <w:br/>
      </w:r>
      <w:r>
        <w:rPr>
          <w:rFonts w:ascii="Times New Roman" w:hAnsi="Times New Roman"/>
          <w:sz w:val="20"/>
        </w:rPr>
        <w:t>Horizontal bar plot ranking the 30 identified MSC-exosomal miRNAs by target gene enrichment score (integrated score from multiMiR v1.12.0 pathway analysis combining TarBase, miRTarBase, and predicted targets). Bar length represents composite enrichment score; error bars show 95% CI from Fisher's exact test. Top-ranked miRNAs annotated with primary biological function based on literature curation.</w:t>
      </w:r>
    </w:p>
    <w:p>
      <w:pPr>
        <w:spacing w:after="120"/>
      </w:pPr>
      <w:r>
        <w:rPr>
          <w:rFonts w:ascii="Times New Roman" w:hAnsi="Times New Roman"/>
          <w:b/>
          <w:sz w:val="20"/>
        </w:rPr>
        <w:t>Panel C — Gene Ontology functional enrichment bubble plot</w:t>
        <w:br/>
      </w:r>
      <w:r>
        <w:rPr>
          <w:rFonts w:ascii="Times New Roman" w:hAnsi="Times New Roman"/>
          <w:sz w:val="20"/>
        </w:rPr>
        <w:t>GO Biological Process over-representation analysis (clusterProfiler v4.6.0) for the combined set of 57 exosomal proteins and their validated target genes. Bubble area proportional to gene count per term; color gradient represents −log₁₀(FDR-corrected p-value). FDR computed via Benjamini-Hochberg procedure; significance threshold: FDR &lt; 0.05, minimum gene count = 5. Top 15 terms shown, grouped by semantic similarity.</w:t>
      </w:r>
    </w:p>
    <w:p>
      <w:r>
        <w:rPr>
          <w:rFonts w:ascii="Times New Roman" w:hAnsi="Times New Roman"/>
          <w:b/>
          <w:i/>
          <w:sz w:val="20"/>
        </w:rPr>
        <w:t xml:space="preserve">Figure 2 interpretation: </w:t>
      </w:r>
      <w:r>
        <w:rPr>
          <w:rFonts w:ascii="Times New Roman" w:hAnsi="Times New Roman"/>
          <w:i/>
          <w:sz w:val="20"/>
        </w:rPr>
        <w:t>The exosomal cargo composition reveals a dual-axis repair mechanism: Axis 1 (TGF-β signaling) mediated by ligands TGFB1/TGFB3 engaging receptors TGFBR1, ACVR1B, ACVR1C for immunomodulation (23 interaction pairs); Axis 2 (ECM reconstruction) mediated by structural proteins COL1A1/FN1 engaging integrin receptors ITGB1/ITGAV/CD44 for direct matrix supplementation (18 interaction pairs). Together these axes account for 58.6% of total identified exosome-mediated communication events.</w:t>
      </w:r>
    </w:p>
    <w:p>
      <w:r>
        <w:br w:type="page"/>
      </w:r>
    </w:p>
    <w:p>
      <w:pPr>
        <w:pStyle w:val="Heading2"/>
      </w:pPr>
      <w:r>
        <w:rPr>
          <w:rFonts w:ascii="Times New Roman" w:hAnsi="Times New Roman"/>
          <w:color w:val="000000"/>
        </w:rPr>
        <w:t>Figure 3. CellChat analysis uncovers exosome-mediated intercellular communication networks</w:t>
      </w:r>
    </w:p>
    <w:p>
      <w:pPr>
        <w:spacing w:after="160"/>
      </w:pPr>
      <w:r>
        <w:rPr>
          <w:rFonts w:ascii="Times New Roman" w:hAnsi="Times New Roman"/>
          <w:sz w:val="20"/>
        </w:rPr>
        <w:t>Network graph (Panel A) visualizing 70 statistically significant exosome-mediated ligand-receptor communication pairs (permutation test p &lt; 0.01, 1,000 permutations). Node size proportional to network degree; edge thickness proportional to interaction probability (CellChat). Edge color coding: TGF-β signaling (red, n=23), ECM-receptor (blue, n=18), other pathways (gray, n=29). Central hub nodes: Endothelial (degree=18), FC-Regulatory (degree=16), Macrophage (degree=14).</w:t>
        <w:br/>
        <w:br/>
        <w:t>Panel B: Pathway frequency bar plot showing the top 10 enriched signaling pathways ranked by cumulative interaction count. Error bars: standard error of the mean across contributing cell-type pairs.</w:t>
        <w:br/>
        <w:br/>
        <w:t>Panel C: Stacked bar chart of multi-dimensional treatability scores across all 17 cell types, decomposed into individual dimension contributions (receptor abundance = blue, cargo matching = orange, network centrality = gray). Red horizontal line indicates median composite score (0.58). Endothelial, FC-Regulatory, and Macrophage significantly exceed median (one-sided permutation test p &lt; 0.05).</w:t>
      </w:r>
    </w:p>
    <w:p>
      <w:pPr>
        <w:pStyle w:val="Heading2"/>
      </w:pPr>
      <w:r>
        <w:rPr>
          <w:rFonts w:ascii="Times New Roman" w:hAnsi="Times New Roman"/>
          <w:color w:val="000000"/>
        </w:rPr>
        <w:t>Figure 4. Transcription factor dynamics and spatiotemporal cargo mapping reveal intervention windows</w:t>
      </w:r>
    </w:p>
    <w:p>
      <w:pPr>
        <w:spacing w:after="160"/>
      </w:pPr>
      <w:r>
        <w:rPr>
          <w:rFonts w:ascii="Times New Roman" w:hAnsi="Times New Roman"/>
          <w:sz w:val="20"/>
        </w:rPr>
        <w:t>Panel A: Horizontal bar chart of top 10 upregulated transcription factors ranked by log₂ fold change (DE analysis via Seurat FindMarkers, MAST test, FDR &lt; 0.05, |log₂FC| &gt; 1). SOX9 shows highest upregulation (+3.71, FDR=2.3e-15). Error bars: 95% CI from MAST model.</w:t>
        <w:br/>
        <w:br/>
        <w:t>Panel B: Top 10 downregulated TFs; FOXO3 strongest downregulation (-3.44, FDR=3.4e-14).</w:t>
        <w:br/>
        <w:br/>
        <w:t>Panel C: Volcano plot of 660 differentially active TFs (log₂FC vs −log₁₀FDR). Dotted lines indicate significance thresholds (|log₂FC| &gt; 1, FDR &lt; 0.05). Asymmetric distribution: stronger upregulation of inflammatory TFs vs downregulation of homeostatic TFs.</w:t>
        <w:br/>
        <w:br/>
        <w:t>Panel D: Hierarchical clustered z-score heatmap of top 20 TF activities across 17 cell types (AUCell scores from SCENIC). SOX9 highest in FC-Metabolic and Secretory-Chondrocyte; STAT1 peaks in Male-Inflammatory and Macrophage; FOXO3 enriched in Stem-Progenitor and FC-ECM.</w:t>
      </w:r>
    </w:p>
    <w:p>
      <w:pPr>
        <w:pStyle w:val="Heading2"/>
      </w:pPr>
      <w:r>
        <w:rPr>
          <w:rFonts w:ascii="Times New Roman" w:hAnsi="Times New Roman"/>
          <w:color w:val="000000"/>
        </w:rPr>
        <w:t>Supplementary Figure 1. Trajectory analysis reveals spatiotemporal cargo dynamics</w:t>
      </w:r>
    </w:p>
    <w:p>
      <w:pPr>
        <w:spacing w:after="160"/>
      </w:pPr>
      <w:r>
        <w:rPr>
          <w:rFonts w:ascii="Times New Roman" w:hAnsi="Times New Roman"/>
          <w:sz w:val="20"/>
        </w:rPr>
        <w:t>Panel A: UMAP embedding overlaid with Monocle3-learned pseudotime trajectory (gradient: blue [0] → red [1]). Root node: FC-ECM (pseudotime 0, healthy state). Terminal state: FC-Degenerated (pseudotime 1, advanced degeneration). Intermediate: FC-Regulatory (pseudotime ~0.5). Arrows indicate principal graph direction.</w:t>
        <w:br/>
        <w:br/>
        <w:t>Panel B: LOESS-smoothed expression dynamics of 18 early-phase exosomal proteins along pseudotime. All peak at pseudotime [0, 0.33] confirming prophylactic intervention window. Proteins: FN1, COL1A1, TGFB1, TGFB3, ITGB1, FGF2, HGF, IGF1, VEGFA, PDGFB, BMP2, IL10, COL3A1, LAMA1, LAMB1, LAMC1, THBS1, SERPINE1.</w:t>
        <w:br/>
        <w:br/>
        <w:t>Panel C: Expression dynamics of 13 phase-specific miRNAs. Early phase (pseudotime 0.1-0.3): miR-223-3p, miR-320c, miR-155-5p. Mid phase (0.4-0.6): miR-92a-3p, miR-23b-3p, miR-27a-3p. Late phase (0.7-1.0): miR-127-5p, miR-320a, miR-182-5p, miR-let-7a/7b-5p, miR-140-5p.</w:t>
      </w:r>
    </w:p>
    <w:p>
      <w:r>
        <w:br w:type="page"/>
      </w:r>
    </w:p>
    <w:p>
      <w:pPr>
        <w:pStyle w:val="Heading1"/>
      </w:pPr>
      <w:r>
        <w:rPr>
          <w:rFonts w:ascii="Times New Roman" w:hAnsi="Times New Roman"/>
          <w:color w:val="000000"/>
        </w:rPr>
        <w:t>4. Data Availability Statement</w:t>
      </w:r>
    </w:p>
    <w:p>
      <w:r>
        <w:rPr>
          <w:rFonts w:ascii="Times New Roman" w:hAnsi="Times New Roman"/>
          <w:sz w:val="22"/>
        </w:rPr>
        <w:t>The single-cell RNA sequencing data analyzed in this study were obtained from the publicly available Gene Expression Omnibus (GEO) database under accession number GSE133449 (Sun et al., 2020). No new sequencing experiments were performed.</w:t>
        <w:br/>
        <w:br/>
        <w:t>All custom R and Python scripts used for spatiotemporal mapping, treatability scoring, CellChat communication analysis, SCENIC regulatory network inference, pseudotime trajectory reconstruction (Monocle3), molecular docking validation, and figure generation are available at:</w:t>
        <w:br/>
        <w:br/>
        <w:t xml:space="preserve">    GitHub Repository: [Insert Anonymous Repository URL]</w:t>
        <w:br/>
        <w:t xml:space="preserve">    Zenodo DOI: [Insert DOI upon acceptance]</w:t>
        <w:br/>
        <w:br/>
        <w:t>The repository contains:</w:t>
        <w:br/>
        <w:t xml:space="preserve">    • Complete analysis pipeline (R v4.4.0 + Python v3.12)</w:t>
        <w:br/>
        <w:t xml:space="preserve">    • Processed Seurat objects (.rds)</w:t>
        <w:br/>
        <w:t xml:space="preserve">    • Intermediate results (tables, figures in editable formats)</w:t>
        <w:br/>
        <w:t xml:space="preserve">    • Environment specification files (renv.lock / requirements.txt)</w:t>
        <w:br/>
        <w:t xml:space="preserve">    • Detailed README with step-by-step reproduction instructions</w:t>
        <w:br/>
        <w:br/>
        <w:t>Code and processed data will be made fully public upon publication. During peer review, anonymous access will be provided to editors and reviewers upon request.</w:t>
      </w:r>
    </w:p>
    <w:p>
      <w:pPr>
        <w:pStyle w:val="Heading1"/>
      </w:pPr>
      <w:r>
        <w:rPr>
          <w:rFonts w:ascii="Times New Roman" w:hAnsi="Times New Roman"/>
          <w:color w:val="000000"/>
        </w:rPr>
        <w:t>5. Ethics and Data Source Statement</w:t>
      </w:r>
    </w:p>
    <w:p>
      <w:r>
        <w:rPr>
          <w:rFonts w:ascii="Times New Roman" w:hAnsi="Times New Roman"/>
          <w:sz w:val="22"/>
        </w:rPr>
        <w:t>This study uses exclusively publicly available single-cell RNA sequencing data obtained from the GEO database (accession number GSE133449). The original data collection, patient recruitment, tissue procurement, informed consent procedure, and Institutional Review Board (IRB) approval were conducted entirely by Sun et al. (2020) as described in their original publication. No new human subjects, animal subjects, or clinical specimens were collected for any portion of this study.</w:t>
        <w:br/>
        <w:br/>
        <w:t>All downstream bioinformatic analyses (data processing, normalization, clustering, differential expression, pathway analysis, communication inference, trajectory modeling, and docking simulation) were performed computationally on de-identified, publicly available transcriptomic data. This work complies with the GEO data use policies and the terms of use specified by the original data generators.</w:t>
        <w:br/>
        <w:br/>
        <w:t>We thank Sun et al. for generating and sharing this valuable dataset (GEO GSE133449), which enabled the present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