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0"/>
        <w:pBdr/>
        <w:spacing/>
        <w:ind/>
        <w:rPr/>
      </w:pPr>
      <w:r>
        <w:t xml:space="preserve">正交化梯度方法的数值分析视角：从Newton–Schulz极分解到Muon优化器及其统一框架</w:t>
      </w:r>
      <w:r/>
    </w:p>
    <w:p>
      <w:pPr>
        <w:pStyle w:val="837"/>
        <w:pBdr/>
        <w:spacing/>
        <w:ind/>
        <w:rPr/>
      </w:pPr>
      <w:r>
        <w:t xml:space="preserve">赵泽霖、史云天</w:t>
      </w:r>
      <w:r/>
    </w:p>
    <w:p>
      <w:pPr>
        <w:pStyle w:val="826"/>
        <w:pBdr/>
        <w:spacing/>
        <w:ind/>
        <w:rPr/>
      </w:pPr>
      <w:r>
        <w:t xml:space="preserve">(清华大学，学号：2023010848、2023010836，数值分析与算法课程项目)</w:t>
      </w:r>
      <w:r/>
    </w:p>
    <w:p>
      <w:pPr>
        <w:pStyle w:val="832"/>
        <w:pBdr/>
        <w:spacing/>
        <w:ind/>
        <w:rPr/>
      </w:pPr>
      <w:r>
        <w:rPr>
          <w:b/>
          <w:bCs/>
        </w:rPr>
        <w:t xml:space="preserve">摘 要：</w:t>
      </w:r>
      <w:r>
        <w:t xml:space="preserve">本文以Muon优化器为核心，把现代深度学习常用的GD、Heavy-ball、Nesterov、Adam/AdamW、Sophia、signSGD、Muon统一为迭代模板x</w:t>
      </w:r>
      <w:r>
        <w:rPr>
          <w:vertAlign w:val="subscript"/>
        </w:rPr>
        <w:t xml:space="preserve">k+1</w:t>
      </w:r>
      <w:r>
        <w:t xml:space="preserve">=x</w:t>
      </w:r>
      <w:r>
        <w:rPr>
          <w:vertAlign w:val="subscript"/>
        </w:rPr>
        <w:t xml:space="preserve">k</w:t>
      </w:r>
      <w:r>
        <w:t xml:space="preserve">−P</w:t>
      </w:r>
      <w:r>
        <w:rPr>
          <w:vertAlign w:val="subscript"/>
        </w:rPr>
        <w:t xml:space="preserve">k</w:t>
      </w:r>
      <w:r>
        <w:t xml:space="preserve">g</w:t>
      </w:r>
      <w:r>
        <w:rPr>
          <w:vertAlign w:val="subscript"/>
        </w:rPr>
        <w:t xml:space="preserve">k</w:t>
      </w:r>
      <w:r>
        <w:t xml:space="preserve">下的不同更新策略，并进一步证明它们都是同一个线性最小化oracle（LMO）d*=argmin</w:t>
      </w:r>
      <w:r>
        <w:rPr>
          <w:vertAlign w:val="subscript"/>
        </w:rPr>
        <w:t xml:space="preserve">‖d‖≤1</w:t>
      </w:r>
      <w:r>
        <w:t xml:space="preserve">⟨g,d⟩在ℓ</w:t>
      </w:r>
      <w:r>
        <w:rPr>
          <w:vertAlign w:val="subscript"/>
        </w:rPr>
        <w:t xml:space="preserve">2</w:t>
      </w:r>
      <w:r>
        <w:t xml:space="preserve">/ℓ</w:t>
      </w:r>
      <w:r>
        <w:rPr>
          <w:vertAlign w:val="subscript"/>
        </w:rPr>
        <w:t xml:space="preserve">∞</w:t>
      </w:r>
      <w:r>
        <w:t xml:space="preserve">/谱范数下的解——即GD/signSGD/Muon分别是ℓ</w:t>
      </w:r>
      <w:r>
        <w:rPr>
          <w:vertAlign w:val="subscript"/>
        </w:rPr>
        <w:t xml:space="preserve">2</w:t>
      </w:r>
      <w:r>
        <w:t xml:space="preserve">/ℓ</w:t>
      </w:r>
      <w:r>
        <w:rPr>
          <w:vertAlign w:val="subscript"/>
        </w:rPr>
        <w:t xml:space="preserve">∞</w:t>
      </w:r>
      <w:r>
        <w:t xml:space="preserve">/谱范数的最速下降。我们给出完整的数值分析推导（GD强凸线性收敛、Polyak谱半径最优、Heavy-ball为Chebyshev半迭代的冻结系数极限、Newton–Schulz二次收敛与谱范数LMO最优性），并以22组实验、19项pytest、一键复现脚本加以验证。本稿尤其强调诚实性：修正了一处真bug（有效条件数应为κ(P</w:t>
      </w:r>
      <w:r>
        <w:rPr>
          <w:vertAlign w:val="subscript"/>
        </w:rPr>
        <w:t xml:space="preserve">k</w:t>
      </w:r>
      <w:r>
        <w:t xml:space="preserve">A)而非κ(P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−1</w:t>
      </w:r>
      <w:r>
        <w:t xml:space="preserve">A)），并纠正多处过度声称——例如Adam用梯度幅度而非曲率做对角缩放，故即便在对角Hessian上其κ</w:t>
      </w:r>
      <w:r>
        <w:rPr>
          <w:vertAlign w:val="subscript"/>
        </w:rPr>
        <w:t xml:space="preserve">eff</w:t>
      </w:r>
      <w:r>
        <w:t xml:space="preserve">也达不到Jacobi的理想值1；又如凸二次上CG为Krylov最优、Muon并不更快，Muon的价值是结构性的（更新条件数恒为1）。关键定量结果：Chebyshev系数ω</w:t>
      </w:r>
      <w:r>
        <w:rPr>
          <w:vertAlign w:val="subscript"/>
        </w:rPr>
        <w:t xml:space="preserve">k</w:t>
      </w:r>
      <w:r>
        <w:t xml:space="preserve">单调收敛到1+β*=1.6694（吻合10</w:t>
      </w:r>
      <w:r>
        <w:rPr>
          <w:vertAlign w:val="superscript"/>
        </w:rPr>
        <w:t xml:space="preserve">−7</w:t>
      </w:r>
      <w:r>
        <w:t xml:space="preserve">）；Muon更新条件数在κ(G)∈[1,3162]上恒为1；Newton–Schulz在(0,√3)内全部收敛到正确极因子+U，越界则为分形式归宿。</w:t>
      </w:r>
      <w:r/>
    </w:p>
    <w:p>
      <w:pPr>
        <w:pStyle w:val="833"/>
        <w:pBdr/>
        <w:spacing/>
        <w:ind/>
        <w:rPr/>
      </w:pPr>
      <w:r>
        <w:rPr>
          <w:b/>
          <w:bCs/>
        </w:rPr>
        <w:t xml:space="preserve">关键词：</w:t>
      </w:r>
      <w:r>
        <w:t xml:space="preserve">Newton–Schulz迭代；极分解；Muon优化器；范数最速下降；线性最小化oracle；Chebyshev半迭代；Heavy-ball；动态预条件；ODE离散化</w:t>
      </w:r>
      <w:r/>
    </w:p>
    <w:p>
      <w:pPr>
        <w:pStyle w:val="804"/>
        <w:pBdr/>
        <w:spacing/>
        <w:ind/>
        <w:rPr/>
      </w:pPr>
      <w:r/>
      <w:bookmarkStart w:id="24" w:name="引言"/>
      <w:r>
        <w:t xml:space="preserve">1　引言</w:t>
      </w:r>
      <w:r/>
    </w:p>
    <w:p>
      <w:pPr>
        <w:pBdr/>
        <w:spacing/>
        <w:ind/>
        <w:rPr/>
      </w:pPr>
      <w:r>
        <w:t xml:space="preserve">本学期的「数值分析与算法」课，迭代法部分系统讲了两件事：最速下降（GD）和共轭梯度法（CG）。然而工业界深度学习训练里常用的优化器名字根本不在课本上——Adam、AdamW、Sophia，以及2024年Jordan等人提出、被用于大语言模型预训练的Muon。它们常被视为调参经验，却很少有人从数值迭代的角度审视。</w:t>
      </w:r>
      <w:r/>
    </w:p>
    <w:p>
      <w:pPr>
        <w:pStyle w:val="816"/>
        <w:pBdr/>
        <w:spacing/>
        <w:ind/>
        <w:rPr/>
      </w:pPr>
      <w:r>
        <w:t xml:space="preserve">我们想做的事很简单：把这些优化器统一写成迭代模板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08529" cy="153619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figures/eq_templat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08529" cy="1536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9.65pt;height:12.10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再用课内工具（谱半径、条件数、Chebyshev多项式、矩阵函数迭代）分析它们的收敛性、稳定性与几何。在所有这些优化器里Muon最有意思：它的核心步骤Newton–Schulz迭代正是Higham教材里的极分解迭代，二次收敛、有解析收敛盆(0,√3)，给了我们一条用纯数值分析贯穿全文的主线。</w:t>
      </w:r>
      <w:r/>
    </w:p>
    <w:p>
      <w:pPr>
        <w:pStyle w:val="805"/>
        <w:pBdr/>
        <w:spacing/>
        <w:ind/>
        <w:rPr/>
      </w:pPr>
      <w:r/>
      <w:bookmarkStart w:id="23" w:name="与课程的对应关系"/>
      <w:r>
        <w:t xml:space="preserve">1.1　与课程的对应关系</w:t>
      </w:r>
      <w:r/>
    </w:p>
    <w:p>
      <w:pPr>
        <w:pBdr/>
        <w:spacing w:after="140" w:before="40"/>
        <w:ind/>
        <w:jc w:val="center"/>
        <w:rPr/>
      </w:pPr>
      <w:r>
        <w:t xml:space="preserve">表1　统一模板下各更新策略与课程内容的对应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更新方向P</w:t>
            </w:r>
            <w:r>
              <w:rPr>
                <w:vertAlign w:val="subscript"/>
              </w:rPr>
              <w:t xml:space="preserve">k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经典对应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现代名字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要证明/验证的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ηI（标量步长）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Richardson／显式Euler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GD（ℓ</w:t>
            </w:r>
            <w:r>
              <w:rPr>
                <w:vertAlign w:val="subscript"/>
              </w:rPr>
              <w:t xml:space="preserve">2</w:t>
            </w:r>
            <w:r>
              <w:t xml:space="preserve">最速下降）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强凸线性收敛（定理1）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ηI＋二阶状态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Chebyshev半迭代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Heavy-ball, Nesterov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HB＝Chebyshev冻结系数（定理4）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η·diag(v̂)</w:t>
            </w:r>
            <w:r>
              <w:rPr>
                <w:vertAlign w:val="superscript"/>
              </w:rPr>
              <w:t xml:space="preserve">−1/2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对角缩放（≈Jacobi启发式）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Adam, AdamW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动态预条件＋2-极限环＋κ</w:t>
            </w:r>
            <w:r>
              <w:rPr>
                <w:vertAlign w:val="subscript"/>
              </w:rPr>
              <w:t xml:space="preserve">eff</w:t>
            </w:r>
            <w:r>
              <w:t xml:space="preserve">真相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η·diag(h)</w:t>
            </w:r>
            <w:r>
              <w:rPr>
                <w:vertAlign w:val="superscript"/>
              </w:rPr>
              <w:t xml:space="preserve">−1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对角拟Newton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Sophia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曲率vs梯度幅度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−η·sign(g)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ℓ</w:t>
            </w:r>
            <w:r>
              <w:rPr>
                <w:vertAlign w:val="subscript"/>
              </w:rPr>
              <w:t xml:space="preserve">∞</w:t>
            </w:r>
            <w:r>
              <w:t xml:space="preserve">最速下降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signSGD, Lion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LMO三元组（定理5）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矩阵正交化G→UV</w:t>
            </w:r>
            <w:r>
              <w:rPr>
                <w:vertAlign w:val="superscript"/>
              </w:rPr>
              <w:t xml:space="preserve">⊤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Newton–Schulz矩阵迭代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Muon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二次收敛＋谱范数最速下降（定理6、7）＋奇异值均衡</w:t>
            </w:r>
            <w:bookmarkEnd w:id="23"/>
            <w:bookmarkEnd w:id="24"/>
            <w:r/>
          </w:p>
        </w:tc>
      </w:tr>
    </w:tbl>
    <w:p>
      <w:pPr>
        <w:pStyle w:val="804"/>
        <w:pBdr/>
        <w:spacing/>
        <w:ind/>
        <w:rPr/>
      </w:pPr>
      <w:r/>
      <w:bookmarkStart w:id="34" w:name="预备迭代法的收敛理论"/>
      <w:r>
        <w:t xml:space="preserve">2　预备：迭代法的收敛理论</w:t>
      </w:r>
      <w:r/>
    </w:p>
    <w:p>
      <w:pPr>
        <w:pStyle w:val="805"/>
        <w:pBdr/>
        <w:spacing/>
        <w:ind/>
        <w:rPr/>
      </w:pPr>
      <w:r/>
      <w:bookmarkStart w:id="28" w:name="谱半径lipschitz与强凸"/>
      <w:r>
        <w:t xml:space="preserve">2.1　谱半径、Lipschitz与强凸</w:t>
      </w:r>
      <w:r/>
    </w:p>
    <w:p>
      <w:pPr>
        <w:pBdr/>
        <w:spacing/>
        <w:ind/>
        <w:rPr/>
      </w:pPr>
      <w:r>
        <w:t xml:space="preserve">设f为μ-强凸且梯度L-Lipschitz（μI⪯∇</w:t>
      </w:r>
      <w:r>
        <w:rPr>
          <w:vertAlign w:val="superscript"/>
        </w:rPr>
        <w:t xml:space="preserve">2</w:t>
      </w:r>
      <w:r>
        <w:t xml:space="preserve">f⪯LI），条件数κ=L/μ。核心模型问题是强凸二次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0670" cy="190195"/>
                <wp:effectExtent l="0" t="0" r="0" b="0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figures/eq_quadratic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620670" cy="1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6.35pt;height:14.98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其极小点x*=A</w:t>
      </w:r>
      <w:r>
        <w:rPr>
          <w:vertAlign w:val="superscript"/>
        </w:rPr>
        <w:t xml:space="preserve">−1</w:t>
      </w:r>
      <w:r>
        <w:t xml:space="preserve">b、梯度g(x)=Ax−b。优化等价于解线性方程组Ax=b——这是把现代优化器与课内迭代法挂钩的根本理由。</w:t>
      </w:r>
      <w:bookmarkEnd w:id="28"/>
      <w:r/>
    </w:p>
    <w:p>
      <w:pPr>
        <w:pStyle w:val="805"/>
        <w:pBdr/>
        <w:spacing/>
        <w:ind/>
        <w:rPr/>
      </w:pPr>
      <w:r/>
      <w:bookmarkStart w:id="32" w:name="krylov子空间与chebyshev多项式cg的本质"/>
      <w:r>
        <w:t xml:space="preserve">2.2　Krylov子空间与Chebyshev多项式（CG的本质）</w:t>
      </w:r>
      <w:r/>
    </w:p>
    <w:p>
      <w:pPr>
        <w:pBdr/>
        <w:spacing/>
        <w:ind/>
        <w:rPr/>
      </w:pPr>
      <w:r>
        <w:t xml:space="preserve">CG第k步x</w:t>
      </w:r>
      <w:r>
        <w:rPr>
          <w:vertAlign w:val="subscript"/>
        </w:rPr>
        <w:t xml:space="preserve">k</w:t>
      </w:r>
      <w:r>
        <w:t xml:space="preserve">在仿射Krylov子空间x</w:t>
      </w:r>
      <w:r>
        <w:rPr>
          <w:vertAlign w:val="subscript"/>
        </w:rPr>
        <w:t xml:space="preserve">0</w:t>
      </w:r>
      <w:r>
        <w:t xml:space="preserve">+K</w:t>
      </w:r>
      <w:r>
        <w:rPr>
          <w:vertAlign w:val="subscript"/>
        </w:rPr>
        <w:t xml:space="preserve">k</w:t>
      </w:r>
      <w:r>
        <w:t xml:space="preserve">(A,r</w:t>
      </w:r>
      <w:r>
        <w:rPr>
          <w:vertAlign w:val="subscript"/>
        </w:rPr>
        <w:t xml:space="preserve">0</w:t>
      </w:r>
      <w:r>
        <w:t xml:space="preserve">)中最小化A-范数误差，等价于误差e</w:t>
      </w:r>
      <w:r>
        <w:rPr>
          <w:vertAlign w:val="subscript"/>
        </w:rPr>
        <w:t xml:space="preserve">k</w:t>
      </w:r>
      <w:r>
        <w:t xml:space="preserve">=p</w:t>
      </w:r>
      <w:r>
        <w:rPr>
          <w:vertAlign w:val="subscript"/>
        </w:rPr>
        <w:t xml:space="preserve">k</w:t>
      </w:r>
      <w:r>
        <w:t xml:space="preserve">(A)e</w:t>
      </w:r>
      <w:r>
        <w:rPr>
          <w:vertAlign w:val="subscript"/>
        </w:rPr>
        <w:t xml:space="preserve">0</w:t>
      </w:r>
      <w:r>
        <w:t xml:space="preserve">、p</w:t>
      </w:r>
      <w:r>
        <w:rPr>
          <w:vertAlign w:val="subscript"/>
        </w:rPr>
        <w:t xml:space="preserve">k</w:t>
      </w:r>
      <w:r>
        <w:t xml:space="preserve">∈P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0</w:t>
      </w:r>
      <w:r>
        <w:t xml:space="preserve">={p:p(0)=1}。这是Chebyshev最佳逼近问题，解为缩放后的Chebyshev多项式，给出经典上界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47088" cy="405993"/>
                <wp:effectExtent l="0" t="0" r="0" b="0"/>
                <wp:docPr id="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icture" descr="figures/eq_cg_bound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847088" cy="4059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5.44pt;height:31.97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右端的(√κ−1)/(√κ+1)比GD的(κ−1)/(κ+1)阶更好，正是Chebyshev minimax性质带来的「加速」——后面所有加速类方法共享这个上界。</w:t>
      </w:r>
      <w:bookmarkEnd w:id="32"/>
      <w:r/>
    </w:p>
    <w:p>
      <w:pPr>
        <w:pStyle w:val="805"/>
        <w:pBdr/>
        <w:spacing/>
        <w:ind/>
        <w:rPr/>
      </w:pPr>
      <w:r/>
      <w:bookmarkStart w:id="33" w:name="极分解矩阵函数视角"/>
      <w:r>
        <w:t xml:space="preserve">2.3　极分解：矩阵函数视角</w:t>
      </w:r>
      <w:r/>
    </w:p>
    <w:p>
      <w:pPr>
        <w:pBdr/>
        <w:spacing/>
        <w:ind/>
        <w:rPr/>
      </w:pPr>
      <w:r>
        <w:t xml:space="preserve">对任意G∈ℝ</w:t>
      </w:r>
      <w:r>
        <w:rPr>
          <w:vertAlign w:val="superscript"/>
        </w:rPr>
        <w:t xml:space="preserve">m×n</w:t>
      </w:r>
      <w:r>
        <w:t xml:space="preserve">（m≥n、列满秩），存在唯一极分解G=UH（U</w:t>
      </w:r>
      <w:r>
        <w:rPr>
          <w:vertAlign w:val="superscript"/>
        </w:rPr>
        <w:t xml:space="preserve">⊤</w:t>
      </w:r>
      <w:r>
        <w:t xml:space="preserve">U=I，H⪰0）。若G=ÛΣV</w:t>
      </w:r>
      <w:r>
        <w:rPr>
          <w:vertAlign w:val="superscript"/>
        </w:rPr>
        <w:t xml:space="preserve">⊤</w:t>
      </w:r>
      <w:r>
        <w:t xml:space="preserve">是SVD，则U=ÛV</w:t>
      </w:r>
      <w:r>
        <w:rPr>
          <w:vertAlign w:val="superscript"/>
        </w:rPr>
        <w:t xml:space="preserve">⊤</w:t>
      </w:r>
      <w:r>
        <w:t xml:space="preserve">。第4节将证明Muon的更新方向就是−U，第5节解释这正是谱范数最速下降。</w:t>
      </w:r>
      <w:bookmarkEnd w:id="33"/>
      <w:bookmarkEnd w:id="34"/>
      <w:r/>
    </w:p>
    <w:p>
      <w:pPr>
        <w:pStyle w:val="804"/>
        <w:pBdr/>
        <w:spacing/>
        <w:ind/>
        <w:rPr/>
      </w:pPr>
      <w:r/>
      <w:bookmarkStart w:id="59" w:name="三大基线机制gdheavy-balladam"/>
      <w:r>
        <w:t xml:space="preserve">3　三大基线机制：GD、Heavy-ball、Adam</w:t>
      </w:r>
      <w:r/>
    </w:p>
    <w:p>
      <w:pPr>
        <w:pStyle w:val="805"/>
        <w:pBdr/>
        <w:spacing/>
        <w:ind/>
        <w:rPr/>
      </w:pPr>
      <w:r/>
      <w:bookmarkStart w:id="35" w:name="gd与richardson迭代"/>
      <w:r>
        <w:t xml:space="preserve">3.1　GD与Richardson迭代</w:t>
      </w:r>
      <w:r/>
    </w:p>
    <w:p>
      <w:pPr>
        <w:pBdr/>
        <w:spacing/>
        <w:ind/>
        <w:rPr/>
      </w:pPr>
      <w:r>
        <w:t xml:space="preserve">GD更新x</w:t>
      </w:r>
      <w:r>
        <w:rPr>
          <w:vertAlign w:val="subscript"/>
        </w:rPr>
        <w:t xml:space="preserve">k+1</w:t>
      </w:r>
      <w:r>
        <w:t xml:space="preserve">=x</w:t>
      </w:r>
      <w:r>
        <w:rPr>
          <w:vertAlign w:val="subscript"/>
        </w:rPr>
        <w:t xml:space="preserve">k</w:t>
      </w:r>
      <w:r>
        <w:t xml:space="preserve">−η(Ax</w:t>
      </w:r>
      <w:r>
        <w:rPr>
          <w:vertAlign w:val="subscript"/>
        </w:rPr>
        <w:t xml:space="preserve">k</w:t>
      </w:r>
      <w:r>
        <w:t xml:space="preserve">−b)即求解Ax=b的Richardson迭代，此时P</w:t>
      </w:r>
      <w:r>
        <w:rPr>
          <w:vertAlign w:val="subscript"/>
        </w:rPr>
        <w:t xml:space="preserve">k</w:t>
      </w:r>
      <w:r>
        <w:t xml:space="preserve">=ηI。</w: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定理1（GD在强凸二次上的线性收敛）.</w:t>
      </w:r>
      <w:r>
        <w:t xml:space="preserve">　取η∈(0,2/L)，则‖x</w:t>
      </w:r>
      <w:r>
        <w:rPr>
          <w:vertAlign w:val="subscript"/>
        </w:rPr>
        <w:t xml:space="preserve">k+1</w:t>
      </w:r>
      <w:r>
        <w:t xml:space="preserve">−x*‖</w:t>
      </w:r>
      <w:r>
        <w:rPr>
          <w:vertAlign w:val="subscript"/>
        </w:rPr>
        <w:t xml:space="preserve">2</w:t>
      </w:r>
      <w:r>
        <w:t xml:space="preserve">≤ρ(η)‖x</w:t>
      </w:r>
      <w:r>
        <w:rPr>
          <w:vertAlign w:val="subscript"/>
        </w:rPr>
        <w:t xml:space="preserve">k</w:t>
      </w:r>
      <w:r>
        <w:t xml:space="preserve">−x*‖</w:t>
      </w:r>
      <w:r>
        <w:rPr>
          <w:vertAlign w:val="subscript"/>
        </w:rPr>
        <w:t xml:space="preserve">2</w:t>
      </w:r>
      <w:r>
        <w:t xml:space="preserve">，其中ρ(η)=max</w:t>
      </w:r>
      <w:r>
        <w:rPr>
          <w:vertAlign w:val="subscript"/>
        </w:rPr>
        <w:t xml:space="preserve">i</w:t>
      </w:r>
      <w:r>
        <w:t xml:space="preserve">|1−ηλ</w:t>
      </w:r>
      <w:r>
        <w:rPr>
          <w:vertAlign w:val="subscript"/>
        </w:rPr>
        <w:t xml:space="preserve">i</w:t>
      </w:r>
      <w:r>
        <w:t xml:space="preserve">|。最优步长η*=2/(μ+L)处ρ*=(κ−1)/(κ+1)。完整证明见附录C.1。</w:t>
      </w:r>
      <w:r/>
    </w:p>
    <w:p>
      <w:pPr>
        <w:pStyle w:val="816"/>
        <w:pBdr/>
        <w:spacing/>
        <w:ind/>
        <w:rPr/>
      </w:pPr>
      <w:r>
        <w:t xml:space="preserve">实验对照：κ=100时ρ*≈0.9802；实验5在200个步长上验证了ρ(η)的V形；实验6拟合得κ=1000时ρ</w:t>
      </w:r>
      <w:r>
        <w:rPr>
          <w:vertAlign w:val="subscript"/>
        </w:rPr>
        <w:t xml:space="preserve">emp</w:t>
      </w:r>
      <w:r>
        <w:t xml:space="preserve">=0.9959，与理论值0.998的相对误差为0.2%。</w:t>
      </w:r>
      <w:bookmarkEnd w:id="35"/>
      <w:r/>
    </w:p>
    <w:p>
      <w:pPr>
        <w:pStyle w:val="805"/>
        <w:pBdr/>
        <w:spacing/>
        <w:ind/>
        <w:rPr/>
      </w:pPr>
      <w:r/>
      <w:bookmarkStart w:id="48" w:name="heavy-ballnesterov与chebyshev半迭代"/>
      <w:r>
        <w:t xml:space="preserve">3.2　Heavy-ball、Nesterov与Chebyshev半迭代</w:t>
      </w:r>
      <w:r/>
    </w:p>
    <w:p>
      <w:pPr>
        <w:pBdr/>
        <w:spacing/>
        <w:ind/>
        <w:rPr/>
      </w:pPr>
      <w:r>
        <w:t xml:space="preserve">Polyak Heavy-ball的更新为v</w:t>
      </w:r>
      <w:r>
        <w:rPr>
          <w:vertAlign w:val="subscript"/>
        </w:rPr>
        <w:t xml:space="preserve">k+1</w:t>
      </w:r>
      <w:r>
        <w:t xml:space="preserve">=βv</w:t>
      </w:r>
      <w:r>
        <w:rPr>
          <w:vertAlign w:val="subscript"/>
        </w:rPr>
        <w:t xml:space="preserve">k</w:t>
      </w:r>
      <w:r>
        <w:t xml:space="preserve">+g</w:t>
      </w:r>
      <w:r>
        <w:rPr>
          <w:vertAlign w:val="subscript"/>
        </w:rPr>
        <w:t xml:space="preserve">k</w:t>
      </w:r>
      <w:r>
        <w:t xml:space="preserve">、x</w:t>
      </w:r>
      <w:r>
        <w:rPr>
          <w:vertAlign w:val="subscript"/>
        </w:rPr>
        <w:t xml:space="preserve">k+1</w:t>
      </w:r>
      <w:r>
        <w:t xml:space="preserve">=x</w:t>
      </w:r>
      <w:r>
        <w:rPr>
          <w:vertAlign w:val="subscript"/>
        </w:rPr>
        <w:t xml:space="preserve">k</w:t>
      </w:r>
      <w:r>
        <w:t xml:space="preserve">−ηv</w:t>
      </w:r>
      <w:r>
        <w:rPr>
          <w:vertAlign w:val="subscript"/>
        </w:rPr>
        <w:t xml:space="preserve">k+1</w:t>
      </w:r>
      <w:r>
        <w:t xml:space="preserve">：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02966" cy="144475"/>
                <wp:effectExtent l="0" t="0" r="0" b="0"/>
                <wp:docPr id="4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" descr="figures/eq_hb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702966" cy="1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2.83pt;height:11.38pt;mso-wrap-distance-left:0.00pt;mso-wrap-distance-top:0.00pt;mso-wrap-distance-right:0.00pt;mso-wrap-distance-bottom:0.00pt;z-index:1;" stroked="f" strokeweight="0.75pt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在特征基下，每个模态λ给出2×2迭代矩阵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3585" cy="365760"/>
                <wp:effectExtent l="0" t="0" r="0" b="0"/>
                <wp:docPr id="5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Picture" descr="figures/eq_Tlambda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71358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4.93pt;height:28.80pt;mso-wrap-distance-left:0.00pt;mso-wrap-distance-top:0.00pt;mso-wrap-distance-right:0.00pt;mso-wrap-distance-bottom:0.00pt;z-index:1;" stroked="f" strokeweight="0.75pt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定理2（Polyak最优Heavy-ball谱半径）.</w:t>
      </w:r>
      <w:r>
        <w:t xml:space="preserve">　取η*=4/(√L+√μ)</w:t>
      </w:r>
      <w:r>
        <w:rPr>
          <w:vertAlign w:val="superscript"/>
        </w:rPr>
        <w:t xml:space="preserve">2</w:t>
      </w:r>
      <w:r>
        <w:t xml:space="preserve">、β*=((√L−√μ)/(√L+√μ))</w:t>
      </w:r>
      <w:r>
        <w:rPr>
          <w:vertAlign w:val="superscript"/>
        </w:rPr>
        <w:t xml:space="preserve">2</w:t>
      </w:r>
      <w:r>
        <w:t xml:space="preserve">，则所有模态的谱半径都等于ρ*</w:t>
      </w:r>
      <w:r>
        <w:rPr>
          <w:vertAlign w:val="subscript"/>
        </w:rPr>
        <w:t xml:space="preserve">HB</w:t>
      </w:r>
      <w:r>
        <w:t xml:space="preserve">=(√κ−1)/(√κ+1)：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8729" cy="395020"/>
                <wp:effectExtent l="0" t="0" r="0" b="0"/>
                <wp:docPr id="6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Picture" descr="figures/eq_thm2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008729" cy="395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5.65pt;height:31.10pt;mso-wrap-distance-left:0.00pt;mso-wrap-distance-top:0.00pt;mso-wrap-distance-right:0.00pt;mso-wrap-distance-bottom:0.00pt;z-index:1;" stroked="f" strokeweight="0.75pt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证明（令判别式置零得双重特征值）见附录C.2。对比：κ=100时ρ*</w:t>
      </w:r>
      <w:r>
        <w:rPr>
          <w:vertAlign w:val="subscript"/>
        </w:rPr>
        <w:t xml:space="preserve">HB</w:t>
      </w:r>
      <w:r>
        <w:t xml:space="preserve">≈0.818，比GD的0.980加速约9.9倍（实验2）。Nesterov强凸版取η=1/L、β=(√κ−1)/(√κ+1)，实验11修复后κ=100时70步达10</w:t>
      </w:r>
      <w:r>
        <w:rPr>
          <w:vertAlign w:val="superscript"/>
        </w:rPr>
        <w:t xml:space="preserve">−6</w:t>
      </w:r>
      <w:r>
        <w:t xml:space="preserve">（HB为98步、GD为439步）。</w: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定理4（Heavy-ball是Chebyshev半迭代的冻结系数极限，核心结果）.</w:t>
      </w:r>
      <w:r>
        <w:t xml:space="preserve">　Chebyshev半迭代在有限步minimax最优，其时变系数ω</w:t>
      </w:r>
      <w:r>
        <w:rPr>
          <w:vertAlign w:val="subscript"/>
        </w:rPr>
        <w:t xml:space="preserve">k</w:t>
      </w:r>
      <w:r>
        <w:t xml:space="preserve">单调收敛到ω</w:t>
      </w:r>
      <w:r>
        <w:rPr>
          <w:vertAlign w:val="subscript"/>
        </w:rPr>
        <w:t xml:space="preserve">∞</w:t>
      </w:r>
      <w:r>
        <w:t xml:space="preserve">=1+β*；Polyak Heavy-ball即把系数冻结在ω</w:t>
      </w:r>
      <w:r>
        <w:rPr>
          <w:vertAlign w:val="subscript"/>
        </w:rPr>
        <w:t xml:space="preserve">∞</w:t>
      </w:r>
      <w:r>
        <w:t xml:space="preserve">。二者共享渐近率(√κ−1)/(√κ+1)，且Chebyshev在任意有限k都不慢于HB。完整证明见附录C.3。</w:t>
      </w:r>
      <w:r/>
    </w:p>
    <w:p>
      <w:pPr>
        <w:pStyle w:val="816"/>
        <w:pBdr/>
        <w:spacing/>
        <w:ind/>
        <w:rPr/>
      </w:pPr>
      <w:r>
        <w:t xml:space="preserve">数值验证（实验25）：κ=100上Chebyshev系数ω</w:t>
      </w:r>
      <w:r>
        <w:rPr>
          <w:vertAlign w:val="subscript"/>
        </w:rPr>
        <w:t xml:space="preserve">50</w:t>
      </w:r>
      <w:r>
        <w:t xml:space="preserve">=1.66942149与解析极限1+β*=1.66942149吻合到10</w:t>
      </w:r>
      <w:r>
        <w:rPr>
          <w:vertAlign w:val="superscript"/>
        </w:rPr>
        <w:t xml:space="preserve">−7</w:t>
      </w:r>
      <w:r>
        <w:t xml:space="preserve">（图25中图）；两者的收敛曲线几乎重合。这把课内的Chebyshev/CG与现代动量法直接挂钩：Polyak Heavy-ball就是Chebyshev半迭代冻结系数后的定常版本——这是本报告我们最看重的结果。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512417"/>
                <wp:effectExtent l="0" t="0" r="0" b="0"/>
                <wp:docPr id="7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" descr="figures/fig_cheb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720" cy="15124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60pt;height:119.09pt;mso-wrap-distance-left:0.00pt;mso-wrap-distance-top:0.00pt;mso-wrap-distance-right:0.00pt;mso-wrap-distance-bottom:0.00pt;z-index:1;" stroked="f" strokeweight="0.75pt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图25　左：HB与Chebyshev收敛曲线几乎重合＋minimax上界；中：系数ω</w:t>
      </w:r>
      <w:r>
        <w:rPr>
          <w:vertAlign w:val="subscript"/>
        </w:rPr>
        <w:t xml:space="preserve">k</w:t>
      </w:r>
      <w:r>
        <w:t xml:space="preserve">→1+β*收敛（定理4的直接证据）；右：Chebyshev误差多项式。</w:t>
      </w:r>
      <w:bookmarkEnd w:id="48"/>
      <w:r/>
    </w:p>
    <w:p>
      <w:pPr>
        <w:pStyle w:val="805"/>
        <w:pBdr/>
        <w:spacing/>
        <w:ind/>
        <w:rPr/>
      </w:pPr>
      <w:r/>
      <w:bookmarkStart w:id="58" w:name="adam动态对角缩放与jacobi的差距极限环"/>
      <w:r>
        <w:t xml:space="preserve">3.3　Adam：动态对角缩放、与Jacobi的差距、极限环</w:t>
      </w:r>
      <w:r/>
    </w:p>
    <w:p>
      <w:pPr>
        <w:pBdr/>
        <w:spacing/>
        <w:ind/>
        <w:rPr/>
      </w:pPr>
      <w:r>
        <w:t xml:space="preserve">Adam代入统一模板得到动态对角缩放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98371" cy="215798"/>
                <wp:effectExtent l="0" t="0" r="0" b="0"/>
                <wp:docPr id="8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Picture" descr="figures/eq_adam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598371" cy="2157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25.86pt;height:16.99pt;mso-wrap-distance-left:0.00pt;mso-wrap-distance-top:0.00pt;mso-wrap-distance-right:0.00pt;mso-wrap-distance-bottom:0.00pt;z-index:1;" stroked="f" strokeweight="0.75pt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命题3（Adam与Jacobi的关系——以及为什么不相等）.</w:t>
      </w:r>
      <w:r>
        <w:t xml:space="preserve">　Jacobi用曲率diag(A)，Adam用梯度幅度√EMA(g</w:t>
      </w:r>
      <w:r>
        <w:rPr>
          <w:vertAlign w:val="superscript"/>
        </w:rPr>
        <w:t xml:space="preserve">2</w:t>
      </w:r>
      <w:r>
        <w:t xml:space="preserve">)。在二次问题上√v̂</w:t>
      </w:r>
      <w:r>
        <w:rPr>
          <w:vertAlign w:val="subscript"/>
        </w:rPr>
        <w:t xml:space="preserve">k,i</w:t>
      </w:r>
      <w:r>
        <w:t xml:space="preserve">≈|g</w:t>
      </w:r>
      <w:r>
        <w:rPr>
          <w:vertAlign w:val="subscript"/>
        </w:rPr>
        <w:t xml:space="preserve">k,i</w:t>
      </w:r>
      <w:r>
        <w:t xml:space="preserve">|=λ</w:t>
      </w:r>
      <w:r>
        <w:rPr>
          <w:vertAlign w:val="subscript"/>
        </w:rPr>
        <w:t xml:space="preserve">i</w:t>
      </w:r>
      <w:r>
        <w:t xml:space="preserve">·|x</w:t>
      </w:r>
      <w:r>
        <w:rPr>
          <w:vertAlign w:val="subscript"/>
        </w:rPr>
        <w:t xml:space="preserve">k,i</w:t>
      </w:r>
      <w:r>
        <w:t xml:space="preserve">−x</w:t>
      </w:r>
      <w:r>
        <w:rPr>
          <w:vertAlign w:val="subscript"/>
        </w:rPr>
        <w:t xml:space="preserve">i</w:t>
      </w:r>
      <w:r>
        <w:t xml:space="preserve">*|，把曲率λ</w:t>
      </w:r>
      <w:r>
        <w:rPr>
          <w:vertAlign w:val="subscript"/>
        </w:rPr>
        <w:t xml:space="preserve">i</w:t>
      </w:r>
      <w:r>
        <w:t xml:space="preserve">与到极小点的距离混在一起，只有各坐标距离均匀时才退化为Jacobi。故一般情况下P</w:t>
      </w:r>
      <w:r>
        <w:rPr>
          <w:vertAlign w:val="subscript"/>
        </w:rPr>
        <w:t xml:space="preserve">k</w:t>
      </w:r>
      <w:r>
        <w:t xml:space="preserve">≠η·diag(A)</w:t>
      </w:r>
      <w:r>
        <w:rPr>
          <w:vertAlign w:val="superscript"/>
        </w:rPr>
        <w:t xml:space="preserve">−1</w:t>
      </w:r>
      <w:r>
        <w:t xml:space="preserve">。详见附录C.4。</w:t>
      </w:r>
      <w:r/>
    </w:p>
    <w:p>
      <w:pPr>
        <w:pStyle w:val="816"/>
        <w:pBdr/>
        <w:spacing/>
        <w:ind/>
        <w:rPr/>
      </w:pPr>
      <w:r>
        <w:t xml:space="preserve">实验4（诚实版）画出κ</w:t>
      </w:r>
      <w:r>
        <w:rPr>
          <w:vertAlign w:val="subscript"/>
        </w:rPr>
        <w:t xml:space="preserve">eff</w:t>
      </w:r>
      <w:r>
        <w:t xml:space="preserve">(k)=κ(P</w:t>
      </w:r>
      <w:r>
        <w:rPr>
          <w:vertAlign w:val="subscript"/>
        </w:rPr>
        <w:t xml:space="preserve">k</w:t>
      </w:r>
      <w:r>
        <w:t xml:space="preserve">A)并叠加oracle Jacobi：</w:t>
      </w:r>
      <w:r/>
    </w:p>
    <w:p>
      <w:pPr>
        <w:pBdr/>
        <w:spacing w:after="140" w:before="40"/>
        <w:ind/>
        <w:jc w:val="center"/>
        <w:rPr/>
      </w:pPr>
      <w:r>
        <w:t xml:space="preserve">表2　Adam的对角缩放达不到oracle Jacobi的理想条件数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>
        <w:trPr>
          <w:tblHeader/>
        </w:trPr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情形（κ(A)=100）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oracle Jacobi κ</w:t>
            </w:r>
            <w:r>
              <w:rPr>
                <w:vertAlign w:val="subscript"/>
              </w:rPr>
              <w:t xml:space="preserve">eff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Adam κ</w:t>
            </w:r>
            <w:r>
              <w:rPr>
                <w:vertAlign w:val="subscript"/>
              </w:rPr>
              <w:t xml:space="preserve">eff</w:t>
            </w:r>
            <w:r>
              <w:t xml:space="preserve">（稳定后）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对角A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1.0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约12（最低1.9）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稠密旋转A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83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约85</w:t>
            </w:r>
            <w:r/>
          </w:p>
        </w:tc>
      </w:tr>
    </w:tbl>
    <w:p>
      <w:pPr>
        <w:pStyle w:val="816"/>
        <w:pBdr/>
        <w:spacing/>
        <w:ind/>
        <w:rPr/>
      </w:pPr>
      <w:r>
        <w:t xml:space="preserve">结论：对角A上oracle Jacobi把κ</w:t>
      </w:r>
      <w:r>
        <w:rPr>
          <w:vertAlign w:val="subscript"/>
        </w:rPr>
        <w:t xml:space="preserve">eff</w:t>
      </w:r>
      <w:r>
        <w:t xml:space="preserve">降到理想的1，Adam只到约12（因为缩放的是梯度幅度而非曲率）；稠密A上二者都只能从100降到约85（对角预条件治不了非对角耦合）。「Adam＝Jacobi」只是同属对角预条件家族的启发式，并非等式。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880360"/>
                <wp:effectExtent l="0" t="0" r="0" b="0"/>
                <wp:docPr id="9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Picture" descr="figures/fig_adam_keff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720" cy="288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60pt;height:226.80pt;mso-wrap-distance-left:0.00pt;mso-wrap-distance-top:0.00pt;mso-wrap-distance-right:0.00pt;mso-wrap-distance-bottom:0.00pt;z-index:1;" stroked="f" strokeweight="0.75pt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图4　Adam的κ</w:t>
      </w:r>
      <w:r>
        <w:rPr>
          <w:vertAlign w:val="subscript"/>
        </w:rPr>
        <w:t xml:space="preserve">eff</w:t>
      </w:r>
      <w:r>
        <w:t xml:space="preserve">(k)=κ(P</w:t>
      </w:r>
      <w:r>
        <w:rPr>
          <w:vertAlign w:val="subscript"/>
        </w:rPr>
        <w:t xml:space="preserve">k</w:t>
      </w:r>
      <w:r>
        <w:t xml:space="preserve">A)对比oracle Jacobi（上行对角A、下行稠密A）。</w:t>
      </w:r>
      <w:r/>
    </w:p>
    <w:p>
      <w:pPr>
        <w:pStyle w:val="816"/>
        <w:pBdr/>
        <w:spacing/>
        <w:ind/>
        <w:rPr/>
      </w:pPr>
      <w:r>
        <w:t xml:space="preserve">Bock–Weiß 2-极限环：Adam即使在最简单的凸函数f(x)=½ax</w:t>
      </w:r>
      <w:r>
        <w:rPr>
          <w:vertAlign w:val="superscript"/>
        </w:rPr>
        <w:t xml:space="preserve">2</w:t>
      </w:r>
      <w:r>
        <w:t xml:space="preserve">上也可能不收敛，而落入2-极限环{x</w:t>
      </w:r>
      <w:r>
        <w:rPr>
          <w:vertAlign w:val="superscript"/>
        </w:rPr>
        <w:t xml:space="preserve">+</w:t>
      </w:r>
      <w:r>
        <w:t xml:space="preserve">,x</w:t>
      </w:r>
      <w:r>
        <w:rPr>
          <w:vertAlign w:val="superscript"/>
        </w:rPr>
        <w:t xml:space="preserve">−</w:t>
      </w:r>
      <w:r>
        <w:t xml:space="preserve">}（满足T(x</w:t>
      </w:r>
      <w:r>
        <w:rPr>
          <w:vertAlign w:val="superscript"/>
        </w:rPr>
        <w:t xml:space="preserve">+</w:t>
      </w:r>
      <w:r>
        <w:t xml:space="preserve">)=x</w:t>
      </w:r>
      <w:r>
        <w:rPr>
          <w:vertAlign w:val="superscript"/>
        </w:rPr>
        <w:t xml:space="preserve">−</w:t>
      </w:r>
      <w:r>
        <w:t xml:space="preserve">、T(x</w:t>
      </w:r>
      <w:r>
        <w:rPr>
          <w:vertAlign w:val="superscript"/>
        </w:rPr>
        <w:t xml:space="preserve">−</w:t>
      </w:r>
      <w:r>
        <w:t xml:space="preserve">)=x</w:t>
      </w:r>
      <w:r>
        <w:rPr>
          <w:vertAlign w:val="superscript"/>
        </w:rPr>
        <w:t xml:space="preserve">+</w:t>
      </w:r>
      <w:r>
        <w:t xml:space="preserve">）。实验26取(η,β</w:t>
      </w:r>
      <w:r>
        <w:rPr>
          <w:vertAlign w:val="subscript"/>
        </w:rPr>
        <w:t xml:space="preserve">1</w:t>
      </w:r>
      <w:r>
        <w:t xml:space="preserve">,β</w:t>
      </w:r>
      <w:r>
        <w:rPr>
          <w:vertAlign w:val="subscript"/>
        </w:rPr>
        <w:t xml:space="preserve">2</w:t>
      </w:r>
      <w:r>
        <w:t xml:space="preserve">)=(0.05,0,0.99)、ε=10</w:t>
      </w:r>
      <w:r>
        <w:rPr>
          <w:vertAlign w:val="superscript"/>
        </w:rPr>
        <w:t xml:space="preserve">−12</w:t>
      </w:r>
      <w:r>
        <w:t xml:space="preserve">、x</w:t>
      </w:r>
      <w:r>
        <w:rPr>
          <w:vertAlign w:val="subscript"/>
        </w:rPr>
        <w:t xml:space="preserve">0</w:t>
      </w:r>
      <w:r>
        <w:t xml:space="preserve">=1，复现到x</w:t>
      </w:r>
      <w:r>
        <w:rPr>
          <w:vertAlign w:val="superscript"/>
        </w:rPr>
        <w:t xml:space="preserve">+</w:t>
      </w:r>
      <w:r>
        <w:t xml:space="preserve">≈0.0250、x</w:t>
      </w:r>
      <w:r>
        <w:rPr>
          <w:vertAlign w:val="superscript"/>
        </w:rPr>
        <w:t xml:space="preserve">−</w:t>
      </w:r>
      <w:r>
        <w:t xml:space="preserve">≈−0.0251，振幅0.056稳定200步以上。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665829"/>
                <wp:effectExtent l="0" t="0" r="0" b="0"/>
                <wp:docPr id="10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Picture" descr="figures/fig_adam_cyc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720" cy="3665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60pt;height:288.65pt;mso-wrap-distance-left:0.00pt;mso-wrap-distance-top:0.00pt;mso-wrap-distance-right:0.00pt;mso-wrap-distance-bottom:0.00pt;z-index:1;" stroked="f" strokeweight="0.75pt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图26　Adam在f(x)=x</w:t>
      </w:r>
      <w:r>
        <w:rPr>
          <w:vertAlign w:val="superscript"/>
        </w:rPr>
        <w:t xml:space="preserve">2</w:t>
      </w:r>
      <w:r>
        <w:t xml:space="preserve">/2上的2-极限环（Bock–Weiß 2022复现）。</w:t>
      </w:r>
      <w:bookmarkEnd w:id="58"/>
      <w:bookmarkEnd w:id="59"/>
      <w:r/>
    </w:p>
    <w:p>
      <w:pPr>
        <w:pStyle w:val="804"/>
        <w:pBdr/>
        <w:spacing/>
        <w:ind/>
        <w:rPr/>
      </w:pPr>
      <w:r/>
      <w:bookmarkStart w:id="88" w:name="核心newtonschulz迭代与muon"/>
      <w:r>
        <w:t xml:space="preserve">4　核心：Newton–Schulz迭代与Muon</w:t>
      </w:r>
      <w:r/>
    </w:p>
    <w:p>
      <w:pPr>
        <w:pStyle w:val="805"/>
        <w:pBdr/>
        <w:spacing/>
        <w:ind/>
        <w:rPr/>
      </w:pPr>
      <w:r/>
      <w:bookmarkStart w:id="69" w:name="newtonschulz迭代与二次收敛"/>
      <w:r>
        <w:t xml:space="preserve">4.1　Newton–Schulz迭代与二次收敛</w:t>
      </w:r>
      <w:r/>
    </w:p>
    <w:p>
      <w:pPr>
        <w:pBdr/>
        <w:spacing/>
        <w:ind/>
        <w:rPr/>
      </w:pPr>
      <w:r>
        <w:t xml:space="preserve">设G∈ℝ</w:t>
      </w:r>
      <w:r>
        <w:rPr>
          <w:vertAlign w:val="superscript"/>
        </w:rPr>
        <w:t xml:space="preserve">m×n</w:t>
      </w:r>
      <w:r>
        <w:t xml:space="preserve">（m≥n、列满秩），取X</w:t>
      </w:r>
      <w:r>
        <w:rPr>
          <w:vertAlign w:val="subscript"/>
        </w:rPr>
        <w:t xml:space="preserve">0</w:t>
      </w:r>
      <w:r>
        <w:t xml:space="preserve">=G/‖G‖</w:t>
      </w:r>
      <w:r>
        <w:rPr>
          <w:vertAlign w:val="subscript"/>
        </w:rPr>
        <w:t xml:space="preserve">2</w:t>
      </w:r>
      <w:r>
        <w:t xml:space="preserve">，迭代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48332" cy="190195"/>
                <wp:effectExtent l="0" t="0" r="0" b="0"/>
                <wp:docPr id="1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Picture" descr="figures/eq_ns3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748332" cy="1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37.66pt;height:14.98pt;mso-wrap-distance-left:0.00pt;mso-wrap-distance-top:0.00pt;mso-wrap-distance-right:0.00pt;mso-wrap-distance-bottom:0.00pt;z-index:1;" stroked="f" strokeweight="0.75pt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定理6（局部二次收敛）.</w:t>
      </w:r>
      <w:r>
        <w:t xml:space="preserve">　若σ</w:t>
      </w:r>
      <w:r>
        <w:rPr>
          <w:vertAlign w:val="subscript"/>
        </w:rPr>
        <w:t xml:space="preserve">min</w:t>
      </w:r>
      <w:r>
        <w:t xml:space="preserve">(X</w:t>
      </w:r>
      <w:r>
        <w:rPr>
          <w:vertAlign w:val="subscript"/>
        </w:rPr>
        <w:t xml:space="preserve">0</w:t>
      </w:r>
      <w:r>
        <w:t xml:space="preserve">)&gt;0且σ</w:t>
      </w:r>
      <w:r>
        <w:rPr>
          <w:vertAlign w:val="subscript"/>
        </w:rPr>
        <w:t xml:space="preserve">max</w:t>
      </w:r>
      <w:r>
        <w:t xml:space="preserve">(X</w:t>
      </w:r>
      <w:r>
        <w:rPr>
          <w:vertAlign w:val="subscript"/>
        </w:rPr>
        <w:t xml:space="preserve">0</w:t>
      </w:r>
      <w:r>
        <w:t xml:space="preserve">)&lt;√3，则迭代二次收敛到极分解的正交因子U。令E</w:t>
      </w:r>
      <w:r>
        <w:rPr>
          <w:vertAlign w:val="subscript"/>
        </w:rPr>
        <w:t xml:space="preserve">k</w:t>
      </w:r>
      <w:r>
        <w:t xml:space="preserve">=X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⊤</w:t>
      </w:r>
      <w:r>
        <w:t xml:space="preserve">X</w:t>
      </w:r>
      <w:r>
        <w:rPr>
          <w:vertAlign w:val="subscript"/>
        </w:rPr>
        <w:t xml:space="preserve">k</w:t>
      </w:r>
      <w:r>
        <w:t xml:space="preserve">−I，则误差递推为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85569" cy="186537"/>
                <wp:effectExtent l="0" t="0" r="0" b="0"/>
                <wp:docPr id="1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Picture" descr="figures/eq_nserr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585569" cy="1865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24.85pt;height:14.69pt;mso-wrap-distance-left:0.00pt;mso-wrap-distance-top:0.00pt;mso-wrap-distance-right:0.00pt;mso-wrap-distance-bottom:0.00pt;z-index:1;" stroked="f" strokeweight="0.75pt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故‖E</w:t>
      </w:r>
      <w:r>
        <w:rPr>
          <w:vertAlign w:val="subscript"/>
        </w:rPr>
        <w:t xml:space="preserve">k+1</w:t>
      </w:r>
      <w:r>
        <w:t xml:space="preserve">‖</w:t>
      </w:r>
      <w:r>
        <w:rPr>
          <w:vertAlign w:val="subscript"/>
        </w:rPr>
        <w:t xml:space="preserve">F</w:t>
      </w:r>
      <w:r>
        <w:t xml:space="preserve">≤¼‖E</w:t>
      </w:r>
      <w:r>
        <w:rPr>
          <w:vertAlign w:val="subscript"/>
        </w:rPr>
        <w:t xml:space="preserve">k</w:t>
      </w:r>
      <w:r>
        <w:t xml:space="preserve">‖</w:t>
      </w:r>
      <w:r>
        <w:rPr>
          <w:vertAlign w:val="subscript"/>
        </w:rPr>
        <w:t xml:space="preserve">F</w:t>
      </w:r>
      <w:r>
        <w:rPr>
          <w:vertAlign w:val="superscript"/>
        </w:rPr>
        <w:t xml:space="preserve">2</w:t>
      </w:r>
      <w:r>
        <w:t xml:space="preserve">(3+‖E</w:t>
      </w:r>
      <w:r>
        <w:rPr>
          <w:vertAlign w:val="subscript"/>
        </w:rPr>
        <w:t xml:space="preserve">k</w:t>
      </w:r>
      <w:r>
        <w:t xml:space="preserve">‖</w:t>
      </w:r>
      <w:r>
        <w:rPr>
          <w:vertAlign w:val="subscript"/>
        </w:rPr>
        <w:t xml:space="preserve">F</w:t>
      </w:r>
      <w:r>
        <w:t xml:space="preserve">)，呈二次衰减。</w:t>
      </w:r>
      <w:r/>
    </w:p>
    <w:p>
      <w:pPr>
        <w:pStyle w:val="816"/>
        <w:pBdr/>
        <w:spacing/>
        <w:ind/>
        <w:rPr/>
      </w:pPr>
      <w:r>
        <w:rPr>
          <w:i/>
          <w:iCs/>
        </w:rPr>
        <w:t xml:space="preserve">证明.</w:t>
      </w:r>
      <w:r>
        <w:t xml:space="preserve">　设G</w:t>
      </w:r>
      <w:r>
        <w:rPr>
          <w:vertAlign w:val="subscript"/>
        </w:rPr>
        <w:t xml:space="preserve">k</w:t>
      </w:r>
      <w:r>
        <w:t xml:space="preserve">=X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⊤</w:t>
      </w:r>
      <w:r>
        <w:t xml:space="preserve">X</w:t>
      </w:r>
      <w:r>
        <w:rPr>
          <w:vertAlign w:val="subscript"/>
        </w:rPr>
        <w:t xml:space="preserve">k</w:t>
      </w:r>
      <w:r>
        <w:t xml:space="preserve">，则G</w:t>
      </w:r>
      <w:r>
        <w:rPr>
          <w:vertAlign w:val="subscript"/>
        </w:rPr>
        <w:t xml:space="preserve">k+1</w:t>
      </w:r>
      <w:r>
        <w:t xml:space="preserve">=¼(3I−G</w:t>
      </w:r>
      <w:r>
        <w:rPr>
          <w:vertAlign w:val="subscript"/>
        </w:rPr>
        <w:t xml:space="preserve">k</w:t>
      </w:r>
      <w:r>
        <w:t xml:space="preserve">)G</w:t>
      </w:r>
      <w:r>
        <w:rPr>
          <w:vertAlign w:val="subscript"/>
        </w:rPr>
        <w:t xml:space="preserve">k</w:t>
      </w:r>
      <w:r>
        <w:t xml:space="preserve">(3I−G</w:t>
      </w:r>
      <w:r>
        <w:rPr>
          <w:vertAlign w:val="subscript"/>
        </w:rPr>
        <w:t xml:space="preserve">k</w:t>
      </w:r>
      <w:r>
        <w:t xml:space="preserve">)。代入G</w:t>
      </w:r>
      <w:r>
        <w:rPr>
          <w:vertAlign w:val="subscript"/>
        </w:rPr>
        <w:t xml:space="preserve">k</w:t>
      </w:r>
      <w:r>
        <w:t xml:space="preserve">=I+E</w:t>
      </w:r>
      <w:r>
        <w:rPr>
          <w:vertAlign w:val="subscript"/>
        </w:rPr>
        <w:t xml:space="preserve">k</w:t>
      </w:r>
      <w:r>
        <w:t xml:space="preserve">、3I−G</w:t>
      </w:r>
      <w:r>
        <w:rPr>
          <w:vertAlign w:val="subscript"/>
        </w:rPr>
        <w:t xml:space="preserve">k</w:t>
      </w:r>
      <w:r>
        <w:t xml:space="preserve">=2I−E</w:t>
      </w:r>
      <w:r>
        <w:rPr>
          <w:vertAlign w:val="subscript"/>
        </w:rPr>
        <w:t xml:space="preserve">k</w:t>
      </w:r>
      <w:r>
        <w:t xml:space="preserve">，展开（E</w:t>
      </w:r>
      <w:r>
        <w:rPr>
          <w:vertAlign w:val="subscript"/>
        </w:rPr>
        <w:t xml:space="preserve">k</w:t>
      </w:r>
      <w:r>
        <w:t xml:space="preserve">与I可交换）得4(G</w:t>
      </w:r>
      <w:r>
        <w:rPr>
          <w:vertAlign w:val="subscript"/>
        </w:rPr>
        <w:t xml:space="preserve">k+1</w:t>
      </w:r>
      <w:r>
        <w:t xml:space="preserve">−I)=−3E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2</w:t>
      </w:r>
      <w:r>
        <w:t xml:space="preserve">+E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3</w:t>
      </w:r>
      <w:r>
        <w:t xml:space="preserve">=−E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2</w:t>
      </w:r>
      <w:r>
        <w:t xml:space="preserve">(3I−E</w:t>
      </w:r>
      <w:r>
        <w:rPr>
          <w:vertAlign w:val="subscript"/>
        </w:rPr>
        <w:t xml:space="preserve">k</w:t>
      </w:r>
      <w:r>
        <w:t xml:space="preserve">)，即E</w:t>
      </w:r>
      <w:r>
        <w:rPr>
          <w:vertAlign w:val="subscript"/>
        </w:rPr>
        <w:t xml:space="preserve">k+1</w:t>
      </w:r>
      <w:r>
        <w:t xml:space="preserve">=−¼E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2</w:t>
      </w:r>
      <w:r>
        <w:t xml:space="preserve">(3I−E</w:t>
      </w:r>
      <w:r>
        <w:rPr>
          <w:vertAlign w:val="subscript"/>
        </w:rPr>
        <w:t xml:space="preserve">k</w:t>
      </w:r>
      <w:r>
        <w:t xml:space="preserve">)。取Frobenius范数，当‖E</w:t>
      </w:r>
      <w:r>
        <w:rPr>
          <w:vertAlign w:val="subscript"/>
        </w:rPr>
        <w:t xml:space="preserve">k</w:t>
      </w:r>
      <w:r>
        <w:t xml:space="preserve">‖</w:t>
      </w:r>
      <w:r>
        <w:rPr>
          <w:vertAlign w:val="subscript"/>
        </w:rPr>
        <w:t xml:space="preserve">F</w:t>
      </w:r>
      <w:r>
        <w:t xml:space="preserve">&lt;1时‖E</w:t>
      </w:r>
      <w:r>
        <w:rPr>
          <w:vertAlign w:val="subscript"/>
        </w:rPr>
        <w:t xml:space="preserve">k+1</w:t>
      </w:r>
      <w:r>
        <w:t xml:space="preserve">‖</w:t>
      </w:r>
      <w:r>
        <w:rPr>
          <w:vertAlign w:val="subscript"/>
        </w:rPr>
        <w:t xml:space="preserve">F</w:t>
      </w:r>
      <w:r>
        <w:t xml:space="preserve">&lt;‖E</w:t>
      </w:r>
      <w:r>
        <w:rPr>
          <w:vertAlign w:val="subscript"/>
        </w:rPr>
        <w:t xml:space="preserve">k</w:t>
      </w:r>
      <w:r>
        <w:t xml:space="preserve">‖</w:t>
      </w:r>
      <w:r>
        <w:rPr>
          <w:vertAlign w:val="subscript"/>
        </w:rPr>
        <w:t xml:space="preserve">F</w:t>
      </w:r>
      <w:r>
        <w:rPr>
          <w:vertAlign w:val="superscript"/>
        </w:rPr>
        <w:t xml:space="preserve">2</w:t>
      </w:r>
      <w:r>
        <w:t xml:space="preserve">，即二次收敛。　□</w:t>
      </w:r>
      <w:r/>
    </w:p>
    <w:p>
      <w:pPr>
        <w:pStyle w:val="816"/>
        <w:pBdr/>
        <w:spacing/>
        <w:ind/>
        <w:rPr/>
      </w:pPr>
      <w:r>
        <w:t xml:space="preserve">收敛盆与诚实图景：标量映射φ(σ)=σ(3−σ</w:t>
      </w:r>
      <w:r>
        <w:rPr>
          <w:vertAlign w:val="superscript"/>
        </w:rPr>
        <w:t xml:space="preserve">2</w:t>
      </w:r>
      <w:r>
        <w:t xml:space="preserve">)/2有不动点{−1,0,+1}。σ</w:t>
      </w:r>
      <w:r>
        <w:rPr>
          <w:vertAlign w:val="subscript"/>
        </w:rPr>
        <w:t xml:space="preserve">0</w:t>
      </w:r>
      <w:r>
        <w:t xml:space="preserve">∈(0,√3)收敛到+1（正确极因子+U）；σ</w:t>
      </w:r>
      <w:r>
        <w:rPr>
          <w:vertAlign w:val="subscript"/>
        </w:rPr>
        <w:t xml:space="preserve">0</w:t>
      </w:r>
      <w:r>
        <w:t xml:space="preserve">∈(√3,≈2.06)收敛到−1（即−U，符号错）；σ</w:t>
      </w:r>
      <w:r>
        <w:rPr>
          <w:vertAlign w:val="subscript"/>
        </w:rPr>
        <w:t xml:space="preserve">0</w:t>
      </w:r>
      <w:r>
        <w:t xml:space="preserve">≳2.3发散，中间还夹着如σ</w:t>
      </w:r>
      <w:r>
        <w:rPr>
          <w:vertAlign w:val="subscript"/>
        </w:rPr>
        <w:t xml:space="preserve">0</w:t>
      </w:r>
      <w:r>
        <w:t xml:space="preserve">=2.21弹回+1的点——盆结构是分形式的。实验30在120个初值上区分最终符号：(0,√3)内86个全部收敛到+U，外部21个收敛到−U、13个发散。只有(0,√3)保证收敛到正确极因子，这正是Muon实现「先除以‖G‖</w:t>
      </w:r>
      <w:r>
        <w:rPr>
          <w:vertAlign w:val="subscript"/>
        </w:rPr>
        <w:t xml:space="preserve">2</w:t>
      </w:r>
      <w:r>
        <w:t xml:space="preserve">把奇异值压进(0,√3)」的数值依据。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949500"/>
                <wp:effectExtent l="0" t="0" r="0" b="0"/>
                <wp:docPr id="1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" descr="figures/fig_ns_basi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60720" cy="194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3.60pt;height:153.50pt;mso-wrap-distance-left:0.00pt;mso-wrap-distance-top:0.00pt;mso-wrap-distance-right:0.00pt;mso-wrap-distance-bottom:0.00pt;z-index:1;" stroked="f" strokeweight="0.75pt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图30　NS收敛盆的三种归宿：(0,√3)→+U（正确）、(√3,2.06)→−U（符号错）、更大则发散。</w:t>
      </w:r>
      <w:r/>
    </w:p>
    <w:p>
      <w:pPr>
        <w:pStyle w:val="816"/>
        <w:pBdr/>
        <w:spacing/>
        <w:ind/>
        <w:rPr/>
      </w:pPr>
      <w:r>
        <w:t xml:space="preserve">实验3/23：NS在16×16矩阵上15步达10</w:t>
      </w:r>
      <w:r>
        <w:rPr>
          <w:vertAlign w:val="superscript"/>
        </w:rPr>
        <w:t xml:space="preserve">−10</w:t>
      </w:r>
      <w:r>
        <w:t xml:space="preserve">；胖矩阵8×32因m&lt;n的边界，修复前发散，修复后（先对X</w:t>
      </w:r>
      <w:r>
        <w:rPr>
          <w:vertAlign w:val="superscript"/>
        </w:rPr>
        <w:t xml:space="preserve">⊤</w:t>
      </w:r>
      <w:r>
        <w:t xml:space="preserve">做NS）7步达10</w:t>
      </w:r>
      <w:r>
        <w:rPr>
          <w:vertAlign w:val="superscript"/>
        </w:rPr>
        <w:t xml:space="preserve">−6</w:t>
      </w:r>
      <w:r>
        <w:t xml:space="preserve">。</w:t>
      </w:r>
      <w:bookmarkEnd w:id="69"/>
      <w:r/>
    </w:p>
    <w:p>
      <w:pPr>
        <w:pStyle w:val="805"/>
        <w:pBdr/>
        <w:spacing/>
        <w:ind/>
        <w:rPr/>
      </w:pPr>
      <w:r/>
      <w:bookmarkStart w:id="76" w:name="五阶higham加速"/>
      <w:r>
        <w:t xml:space="preserve">4.2　五阶Higham加速</w:t>
      </w:r>
      <w:r/>
    </w:p>
    <w:p>
      <w:pPr>
        <w:pBdr/>
        <w:spacing/>
        <w:ind/>
        <w:rPr/>
      </w:pPr>
      <w:r>
        <w:t xml:space="preserve">Higham（2008, eq. 8.20）的五阶多项式迭代为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4641" cy="192024"/>
                <wp:effectExtent l="0" t="0" r="0" b="0"/>
                <wp:docPr id="14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Picture" descr="figures/eq_ns5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304641" cy="1920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60.21pt;height:15.12pt;mso-wrap-distance-left:0.00pt;mso-wrap-distance-top:0.00pt;mso-wrap-distance-right:0.00pt;mso-wrap-distance-bottom:0.00pt;z-index:1;" stroked="f" strokeweight="0.75pt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对应p(σ)=(15−10σ</w:t>
      </w:r>
      <w:r>
        <w:rPr>
          <w:vertAlign w:val="superscript"/>
        </w:rPr>
        <w:t xml:space="preserve">2</w:t>
      </w:r>
      <w:r>
        <w:t xml:space="preserve">+3σ</w:t>
      </w:r>
      <w:r>
        <w:rPr>
          <w:vertAlign w:val="superscript"/>
        </w:rPr>
        <w:t xml:space="preserve">4</w:t>
      </w:r>
      <w:r>
        <w:t xml:space="preserve">)/8，满足p(1)=1、p′(1)=p″(1)=0（三阶接触），收敛阶为5。实验27：16×8矩阵的五阶NS 5步达3×10</w:t>
      </w:r>
      <w:r>
        <w:rPr>
          <w:vertAlign w:val="superscript"/>
        </w:rPr>
        <w:t xml:space="preserve">−16</w:t>
      </w:r>
      <w:r>
        <w:t xml:space="preserve">，三阶要11步。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772107"/>
                <wp:effectExtent l="0" t="0" r="0" b="0"/>
                <wp:docPr id="15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Picture" descr="figures/fig_higham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0720" cy="17721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60pt;height:139.54pt;mso-wrap-distance-left:0.00pt;mso-wrap-distance-top:0.00pt;mso-wrap-distance-right:0.00pt;mso-wrap-distance-bottom:0.00pt;z-index:1;" stroked="f" strokeweight="0.75pt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图27　五阶Higham NS对比标准三阶NS（三种矩阵形状）。</w:t>
      </w:r>
      <w:bookmarkEnd w:id="76"/>
      <w:r/>
    </w:p>
    <w:p>
      <w:pPr>
        <w:pStyle w:val="805"/>
        <w:pBdr/>
        <w:spacing/>
        <w:ind/>
        <w:rPr/>
      </w:pPr>
      <w:r/>
      <w:bookmarkStart w:id="80" w:name="muon优化器谱范数最速下降"/>
      <w:r>
        <w:t xml:space="preserve">4.3　Muon优化器：谱范数最速下降</w:t>
      </w:r>
      <w:r/>
    </w:p>
    <w:p>
      <w:pPr>
        <w:pBdr/>
        <w:spacing/>
        <w:ind/>
        <w:rPr/>
      </w:pPr>
      <w:r>
        <w:t xml:space="preserve">Muon（Jordan et al. 2024）对矩阵参数先做动量梯度M</w:t>
      </w:r>
      <w:r>
        <w:rPr>
          <w:vertAlign w:val="subscript"/>
        </w:rPr>
        <w:t xml:space="preserve">k</w:t>
      </w:r>
      <w:r>
        <w:t xml:space="preserve">，用Newton–Schulz正交化得M̃</w:t>
      </w:r>
      <w:r>
        <w:rPr>
          <w:vertAlign w:val="subscript"/>
        </w:rPr>
        <w:t xml:space="preserve">k</w:t>
      </w:r>
      <w:r>
        <w:t xml:space="preserve">≈U</w:t>
      </w:r>
      <w:r>
        <w:rPr>
          <w:vertAlign w:val="subscript"/>
        </w:rPr>
        <w:t xml:space="preserve">k</w:t>
      </w:r>
      <w:r>
        <w:t xml:space="preserve">V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⊤</w:t>
      </w:r>
      <w:r>
        <w:t xml:space="preserve">，再更新W</w:t>
      </w:r>
      <w:r>
        <w:rPr>
          <w:vertAlign w:val="subscript"/>
        </w:rPr>
        <w:t xml:space="preserve">k+1</w:t>
      </w:r>
      <w:r>
        <w:t xml:space="preserve">=W</w:t>
      </w:r>
      <w:r>
        <w:rPr>
          <w:vertAlign w:val="subscript"/>
        </w:rPr>
        <w:t xml:space="preserve">k</w:t>
      </w:r>
      <w:r>
        <w:t xml:space="preserve">−ηM̃</w:t>
      </w:r>
      <w:r>
        <w:rPr>
          <w:vertAlign w:val="subscript"/>
        </w:rPr>
        <w:t xml:space="preserve">k</w:t>
      </w:r>
      <w:r>
        <w:t xml:space="preserve">。Kovalev（2025）证明了正交化方向−UV</w:t>
      </w:r>
      <w:r>
        <w:rPr>
          <w:vertAlign w:val="superscript"/>
        </w:rPr>
        <w:t xml:space="preserve">⊤</w:t>
      </w:r>
      <w:r>
        <w:t xml:space="preserve">是谱范数最速下降方向。</w: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定理7（极分解的trust-region最优性）.</w:t>
      </w:r>
      <w:r>
        <w:t xml:space="preserve">　对任意G=UΣV</w:t>
      </w:r>
      <w:r>
        <w:rPr>
          <w:vertAlign w:val="superscript"/>
        </w:rPr>
        <w:t xml:space="preserve">⊤</w:t>
      </w:r>
      <w:r>
        <w:t xml:space="preserve">，有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20240" cy="268833"/>
                <wp:effectExtent l="0" t="0" r="0" b="0"/>
                <wp:docPr id="16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Picture" descr="figures/eq_thm7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1920240" cy="2688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51.20pt;height:21.17pt;mso-wrap-distance-left:0.00pt;mso-wrap-distance-top:0.00pt;mso-wrap-distance-right:0.00pt;mso-wrap-distance-bottom:0.00pt;z-index:1;" stroked="f" strokeweight="0.75pt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rPr>
          <w:i/>
          <w:iCs/>
        </w:rPr>
        <w:t xml:space="preserve">证明.</w:t>
      </w:r>
      <w:r>
        <w:t xml:space="preserve">　由von Neumann迹不等式|tr(Δ</w:t>
      </w:r>
      <w:r>
        <w:rPr>
          <w:vertAlign w:val="superscript"/>
        </w:rPr>
        <w:t xml:space="preserve">⊤</w:t>
      </w:r>
      <w:r>
        <w:t xml:space="preserve">G)|≤Σ</w:t>
      </w:r>
      <w:r>
        <w:rPr>
          <w:vertAlign w:val="subscript"/>
        </w:rPr>
        <w:t xml:space="preserve">i</w:t>
      </w:r>
      <w:r>
        <w:t xml:space="preserve">σ</w:t>
      </w:r>
      <w:r>
        <w:rPr>
          <w:vertAlign w:val="subscript"/>
        </w:rPr>
        <w:t xml:space="preserve">i</w:t>
      </w:r>
      <w:r>
        <w:t xml:space="preserve">(Δ)σ</w:t>
      </w:r>
      <w:r>
        <w:rPr>
          <w:vertAlign w:val="subscript"/>
        </w:rPr>
        <w:t xml:space="preserve">i</w:t>
      </w:r>
      <w:r>
        <w:t xml:space="preserve">(G)≤t·‖G‖</w:t>
      </w:r>
      <w:r>
        <w:rPr>
          <w:vertAlign w:val="subscript"/>
        </w:rPr>
        <w:t xml:space="preserve">*</w:t>
      </w:r>
      <w:r>
        <w:t xml:space="preserve">（核范数），等号在Δ与G共享奇异向量、奇异值取上界t时成立，即Δ=−t·UV</w:t>
      </w:r>
      <w:r>
        <w:rPr>
          <w:vertAlign w:val="superscript"/>
        </w:rPr>
        <w:t xml:space="preserve">⊤</w:t>
      </w:r>
      <w:r>
        <w:t xml:space="preserve">。　□</w:t>
      </w:r>
      <w:r/>
    </w:p>
    <w:p>
      <w:pPr>
        <w:pStyle w:val="816"/>
        <w:pBdr/>
        <w:spacing/>
        <w:ind/>
        <w:rPr/>
      </w:pPr>
      <w:r>
        <w:t xml:space="preserve">含义：Muon在‖ΔW‖</w:t>
      </w:r>
      <w:r>
        <w:rPr>
          <w:vertAlign w:val="subscript"/>
        </w:rPr>
        <w:t xml:space="preserve">2</w:t>
      </w:r>
      <w:r>
        <w:t xml:space="preserve">≤η的谱范数trust-region上做线性逼近的最速下降。这正是第5节「范数最速下降」框架的一部分：Muon选谱范数、GD选ℓ</w:t>
      </w:r>
      <w:r>
        <w:rPr>
          <w:vertAlign w:val="subscript"/>
        </w:rPr>
        <w:t xml:space="preserve">2</w:t>
      </w:r>
      <w:r>
        <w:t xml:space="preserve">，各自最小化不同范数下的线性逼近，故不必在Frobenius损失上保持一致。</w:t>
      </w:r>
      <w:bookmarkEnd w:id="80"/>
      <w:r/>
    </w:p>
    <w:p>
      <w:pPr>
        <w:pStyle w:val="805"/>
        <w:pBdr/>
        <w:spacing/>
        <w:ind/>
        <w:rPr/>
      </w:pPr>
      <w:r/>
      <w:bookmarkStart w:id="87" w:name="muon到底好在哪诚实的评估"/>
      <w:r>
        <w:t xml:space="preserve">4.4　Muon到底好在哪——诚实的评估</w:t>
      </w:r>
      <w:r/>
    </w:p>
    <w:p>
      <w:pPr>
        <w:pBdr/>
        <w:spacing/>
        <w:ind/>
        <w:rPr/>
      </w:pPr>
      <w:r>
        <w:t xml:space="preserve">必须诚实交代：凸二次上CG是Krylov最优的一阶方法，没有任何一阶方法能胜过CG，Muon也不能。在Frobenius矩阵二次上固定步长的Muon甚至发散（f−f*升到6×10</w:t>
      </w:r>
      <w:r>
        <w:rPr>
          <w:vertAlign w:val="superscript"/>
        </w:rPr>
        <w:t xml:space="preserve">4</w:t>
      </w:r>
      <w:r>
        <w:t xml:space="preserve">，GD约50）；即便在我们一度称「Muon主场」的谱范数恢复目标上，Frobenius GD也能精确收敛到10</w:t>
      </w:r>
      <w:r>
        <w:rPr>
          <w:vertAlign w:val="superscript"/>
        </w:rPr>
        <w:t xml:space="preserve">−32</w:t>
      </w:r>
      <w:r>
        <w:t xml:space="preserve">，Muon只到0.037。所以「Muon赢GD」站不住脚，第一稿的措辞属于过度声称，本稿予以改正。</w:t>
      </w:r>
      <w:r/>
    </w:p>
    <w:p>
      <w:pPr>
        <w:pStyle w:val="816"/>
        <w:pBdr/>
        <w:spacing/>
        <w:ind/>
        <w:rPr/>
      </w:pPr>
      <w:r>
        <w:t xml:space="preserve">Muon的价值是结构性的（实验31）：无论梯度G的奇异值多么悬殊，Muon更新−UV</w:t>
      </w:r>
      <w:r>
        <w:rPr>
          <w:vertAlign w:val="superscript"/>
        </w:rPr>
        <w:t xml:space="preserve">⊤</w:t>
      </w:r>
      <w:r>
        <w:t xml:space="preserve">的全部奇异值都是1，即κ(Muon更新)≡1；而GD更新−G的条件数直接等于κ(G)。实验31让κ(G)从1扫到3162，Muon更新的条件数始终为1.000。这意味着Muon把每个奇异方向都推进等量的一步，而GD在小奇异值方向上几乎不动。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949500"/>
                <wp:effectExtent l="0" t="0" r="0" b="0"/>
                <wp:docPr id="17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Picture" descr="figures/fig_muon_equa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60720" cy="194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60pt;height:153.50pt;mso-wrap-distance-left:0.00pt;mso-wrap-distance-top:0.00pt;mso-wrap-distance-right:0.00pt;mso-wrap-distance-bottom:0.00pt;z-index:1;" stroked="f" strokeweight="0.75pt"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图31　Muon的结构性特征——奇异值均衡：更新条件数恒为1。</w:t>
      </w:r>
      <w:r/>
    </w:p>
    <w:p>
      <w:pPr>
        <w:pStyle w:val="816"/>
        <w:pBdr/>
        <w:spacing/>
        <w:ind/>
        <w:rPr/>
      </w:pPr>
      <w:r>
        <w:t xml:space="preserve">为什么这在深度学习里重要（而我们无法在二次模型上完全展示）：一层权重更新ΔW对该层输出的影响由‖ΔW‖</w:t>
      </w:r>
      <w:r>
        <w:rPr>
          <w:vertAlign w:val="subscript"/>
        </w:rPr>
        <w:t xml:space="preserve">2</w:t>
      </w:r>
      <w:r>
        <w:t xml:space="preserve">界定，谱范数trust-region正是控制层输出变化的自然约束；Muon的均衡更新让所有奇异方向获得一致的进展。这是Muon在大语言模型预训练里提速的根源，但严格验证需要GPU集群，超出本课程范围，我们诚实地将其列为「未在本文实验中证实」。实验12、28展示的是Muon在谱范数目标上稳定下降、5个随机种子一致（终值0.028~0.037），以及它与Frobenius几何的错配——而非「比GD快」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994306"/>
                <wp:effectExtent l="0" t="0" r="0" b="0"/>
                <wp:docPr id="18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" descr="figures/fig_muon_spectra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60720" cy="19943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60pt;height:157.03pt;mso-wrap-distance-left:0.00pt;mso-wrap-distance-top:0.00pt;mso-wrap-distance-right:0.00pt;mso-wrap-distance-bottom:0.00pt;z-index:1;" stroked="f" strokeweight="0.75pt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图12　左：谱范数目标上Muon稳定下降；右：Frobenius二次上Muon不下降（几何错配）。</w:t>
      </w:r>
      <w:bookmarkEnd w:id="87"/>
      <w:bookmarkEnd w:id="88"/>
      <w:r/>
    </w:p>
    <w:p>
      <w:pPr>
        <w:pStyle w:val="804"/>
        <w:pBdr/>
        <w:spacing/>
        <w:ind/>
        <w:rPr/>
      </w:pPr>
      <w:r/>
      <w:bookmarkStart w:id="95" w:name="统一框架范数视角下的最速下降lmo"/>
      <w:r>
        <w:t xml:space="preserve">5　统一框架：范数视角下的最速下降（LMO）</w:t>
      </w:r>
      <w:r/>
    </w:p>
    <w:p>
      <w:pPr>
        <w:pBdr/>
        <w:spacing/>
        <w:ind/>
        <w:rPr/>
      </w:pPr>
      <w:r>
        <w:t xml:space="preserve">本节给出把GD、signSGD、Muon真正统一起来的现代观点（Bernstein–Newhouse的modular duality；Kovalev 2025的non-Euclidean trust-region）。给定梯度g，在范数‖·‖的单位球内沿线性逼近走最陡的一步，方向由线性最小化oracle给出：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0515" cy="248716"/>
                <wp:effectExtent l="0" t="0" r="0" b="0"/>
                <wp:docPr id="19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Picture" descr="figures/eq_lmo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750514" cy="2487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16.58pt;height:19.58pt;mso-wrap-distance-left:0.00pt;mso-wrap-distance-top:0.00pt;mso-wrap-distance-right:0.00pt;mso-wrap-distance-bottom:0.00pt;z-index:1;" stroked="f" strokeweight="0.75pt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定理5（三种范数的LMO闭式解＝三个经典优化器）.</w:t>
      </w:r>
      <w:r>
        <w:t xml:space="preserve">　ℓ</w:t>
      </w:r>
      <w:r>
        <w:rPr>
          <w:vertAlign w:val="subscript"/>
        </w:rPr>
        <w:t xml:space="preserve">2</w:t>
      </w:r>
      <w:r>
        <w:t xml:space="preserve">：d*=−g/‖g‖</w:t>
      </w:r>
      <w:r>
        <w:rPr>
          <w:vertAlign w:val="subscript"/>
        </w:rPr>
        <w:t xml:space="preserve">2</w:t>
      </w:r>
      <w:r>
        <w:t xml:space="preserve">（GD）；ℓ</w:t>
      </w:r>
      <w:r>
        <w:rPr>
          <w:vertAlign w:val="subscript"/>
        </w:rPr>
        <w:t xml:space="preserve">∞</w:t>
      </w:r>
      <w:r>
        <w:t xml:space="preserve">：d*=−sign(g)（signSGD/Lion）；谱范数：d*=−UV</w:t>
      </w:r>
      <w:r>
        <w:rPr>
          <w:vertAlign w:val="superscript"/>
        </w:rPr>
        <w:t xml:space="preserve">⊤</w:t>
      </w:r>
      <w:r>
        <w:t xml:space="preserve">（Muon）。且最优值⟨g,d*⟩=−‖g‖</w:t>
      </w:r>
      <w:r>
        <w:rPr>
          <w:vertAlign w:val="subscript"/>
        </w:rPr>
        <w:t xml:space="preserve">dual</w:t>
      </w:r>
      <w:r>
        <w:t xml:space="preserve">，其中ℓ</w:t>
      </w:r>
      <w:r>
        <w:rPr>
          <w:vertAlign w:val="subscript"/>
        </w:rPr>
        <w:t xml:space="preserve">2</w:t>
      </w:r>
      <w:r>
        <w:t xml:space="preserve">↔ℓ</w:t>
      </w:r>
      <w:r>
        <w:rPr>
          <w:vertAlign w:val="subscript"/>
        </w:rPr>
        <w:t xml:space="preserve">2</w:t>
      </w:r>
      <w:r>
        <w:t xml:space="preserve">、ℓ</w:t>
      </w:r>
      <w:r>
        <w:rPr>
          <w:vertAlign w:val="subscript"/>
        </w:rPr>
        <w:t xml:space="preserve">∞</w:t>
      </w:r>
      <w:r>
        <w:t xml:space="preserve">↔ℓ</w:t>
      </w:r>
      <w:r>
        <w:rPr>
          <w:vertAlign w:val="subscript"/>
        </w:rPr>
        <w:t xml:space="preserve">1</w:t>
      </w:r>
      <w:r>
        <w:t xml:space="preserve">、谱范数↔核范数。证明见附录C.5。</w:t>
      </w:r>
      <w:r/>
    </w:p>
    <w:p>
      <w:pPr>
        <w:pStyle w:val="816"/>
        <w:pBdr/>
        <w:spacing/>
        <w:ind/>
        <w:rPr/>
      </w:pPr>
      <w:r>
        <w:t xml:space="preserve">实验32数值验证：三种LMO解的内积都精确等于−‖g‖</w:t>
      </w:r>
      <w:r>
        <w:rPr>
          <w:vertAlign w:val="subscript"/>
        </w:rPr>
        <w:t xml:space="preserve">dual</w:t>
      </w:r>
      <w:r>
        <w:t xml:space="preserve">，且优于3000个随机方向。一句话统一：现代优化器＝选了不同范数几何的最速下降——GD选ℓ</w:t>
      </w:r>
      <w:r>
        <w:rPr>
          <w:vertAlign w:val="subscript"/>
        </w:rPr>
        <w:t xml:space="preserve">2</w:t>
      </w:r>
      <w:r>
        <w:t xml:space="preserve">、signSGD/Lion选ℓ</w:t>
      </w:r>
      <w:r>
        <w:rPr>
          <w:vertAlign w:val="subscript"/>
        </w:rPr>
        <w:t xml:space="preserve">∞</w:t>
      </w:r>
      <w:r>
        <w:t xml:space="preserve">、Muon选谱范数。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949500"/>
                <wp:effectExtent l="0" t="0" r="0" b="0"/>
                <wp:docPr id="20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Picture" descr="figures/fig_lmo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60720" cy="194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3.60pt;height:153.50pt;mso-wrap-distance-left:0.00pt;mso-wrap-distance-top:0.00pt;mso-wrap-distance-right:0.00pt;mso-wrap-distance-bottom:0.00pt;z-index:1;" stroked="f" strokeweight="0.75pt">
                <v:imagedata r:id="rId34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图32　范数最速下降三元组：LMO值＝−对偶范数（左）；三种范数在矩阵二次上的行为（右）。</w:t>
      </w:r>
      <w:r/>
    </w:p>
    <w:p>
      <w:pPr>
        <w:pStyle w:val="816"/>
        <w:pBdr/>
        <w:spacing/>
        <w:ind/>
        <w:rPr/>
      </w:pPr>
      <w:r>
        <w:t xml:space="preserve">为什么这个视角重要：(1)它解释了Muon的「非对角」性——ℓ</w:t>
      </w:r>
      <w:r>
        <w:rPr>
          <w:vertAlign w:val="subscript"/>
        </w:rPr>
        <w:t xml:space="preserve">2</w:t>
      </w:r>
      <w:r>
        <w:t xml:space="preserve">/ℓ</w:t>
      </w:r>
      <w:r>
        <w:rPr>
          <w:vertAlign w:val="subscript"/>
        </w:rPr>
        <w:t xml:space="preserve">∞</w:t>
      </w:r>
      <w:r>
        <w:t xml:space="preserve">的LMO都是逐元素的（对角型），而谱范数LMO涉及SVD，是真正的矩阵级操作；(2)它把「预条件」与「范数选择」统一起来；(3)它指明了Newton–Schulz的角色——谱范数LMO需要UV</w:t>
      </w:r>
      <w:r>
        <w:rPr>
          <w:vertAlign w:val="superscript"/>
        </w:rPr>
        <w:t xml:space="preserve">⊤</w:t>
      </w:r>
      <w:r>
        <w:t xml:space="preserve">，精确计算要做SVD，Muon用NS多项式迭代来近似，于是第4节的矩阵函数迭代成了这个框架的计算引擎。一个诚实的边界：LMO统一的是方向而不是速度——凸二次上换范数并不更快，优势只在问题几何与该范数匹配时才出现。</w:t>
      </w:r>
      <w:bookmarkEnd w:id="95"/>
      <w:r/>
    </w:p>
    <w:p>
      <w:pPr>
        <w:pStyle w:val="804"/>
        <w:pBdr/>
        <w:spacing/>
        <w:ind/>
        <w:rPr/>
      </w:pPr>
      <w:r/>
      <w:bookmarkStart w:id="102" w:name="ode视角连续极限与高分辨率"/>
      <w:r>
        <w:t xml:space="preserve">6　ODE视角：连续极限与高分辨率</w:t>
      </w:r>
      <w:r/>
    </w:p>
    <w:p>
      <w:pPr>
        <w:pBdr/>
        <w:spacing/>
        <w:ind/>
        <w:rPr/>
      </w:pPr>
      <w:r>
        <w:t xml:space="preserve">梯度流ẋ=−∇f的前向Euler离散即GD。Nesterov对应Su–Boyd–Candès的AVD-ODE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01444" cy="310896"/>
                <wp:effectExtent l="0" t="0" r="0" b="0"/>
                <wp:docPr id="2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Picture" descr="figures/eq_avdod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1501444" cy="310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18.22pt;height:24.48pt;mso-wrap-distance-left:0.00pt;mso-wrap-distance-top:0.00pt;mso-wrap-distance-right:0.00pt;mso-wrap-distance-bottom:0.00pt;z-index:1;" stroked="f" strokeweight="0.75pt">
                <v:imagedata r:id="rId35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（t=√η·k，凸时为O(1/t</w:t>
      </w:r>
      <w:r>
        <w:rPr>
          <w:vertAlign w:val="superscript"/>
        </w:rPr>
        <w:t xml:space="preserve">2</w:t>
      </w:r>
      <w:r>
        <w:t xml:space="preserve">)）。Shi et al. 2021的高分辨率ODE多出√η·∇</w:t>
      </w:r>
      <w:r>
        <w:rPr>
          <w:vertAlign w:val="superscript"/>
        </w:rPr>
        <w:t xml:space="preserve">2</w:t>
      </w:r>
      <w:r>
        <w:t xml:space="preserve">f·Ẋ修正项，可区分NAG与Heavy-ball。实验29在κ=50的二维二次上用RK4积分AVD-ODE，与离散NAG/HB在连续时间t=√η·k下轨迹基本重合，2D相图显示离散迭代是连续螺旋的步长采样。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994306"/>
                <wp:effectExtent l="0" t="0" r="0" b="0"/>
                <wp:docPr id="2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icture" descr="figures/fig_od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60720" cy="19943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3.60pt;height:157.03pt;mso-wrap-distance-left:0.00pt;mso-wrap-distance-top:0.00pt;mso-wrap-distance-right:0.00pt;mso-wrap-distance-bottom:0.00pt;z-index:1;" stroked="f" strokeweight="0.75pt">
                <v:imagedata r:id="rId36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图29　AVD-ODE的RK4解对比离散NAG/HB（左：收敛对照；右：2D相图）。</w:t>
      </w:r>
      <w:bookmarkEnd w:id="102"/>
      <w:r/>
    </w:p>
    <w:p>
      <w:pPr>
        <w:pStyle w:val="804"/>
        <w:pBdr/>
        <w:spacing/>
        <w:ind/>
        <w:rPr/>
      </w:pPr>
      <w:r/>
      <w:bookmarkStart w:id="108" w:name="数值实验综述"/>
      <w:r>
        <w:t xml:space="preserve">7　数值实验综述</w:t>
      </w:r>
      <w:r/>
    </w:p>
    <w:p>
      <w:pPr>
        <w:pStyle w:val="805"/>
        <w:pBdr/>
        <w:spacing/>
        <w:ind/>
        <w:rPr/>
      </w:pPr>
      <w:r/>
      <w:bookmarkStart w:id="103" w:name="环境与一键复现"/>
      <w:r>
        <w:t xml:space="preserve">7.1　环境与一键复现</w:t>
      </w:r>
      <w:r/>
    </w:p>
    <w:p>
      <w:pPr>
        <w:pBdr/>
        <w:spacing/>
        <w:ind/>
        <w:rPr/>
      </w:pPr>
      <w:r>
        <w:t xml:space="preserve">环境为Python 3.11＋NumPy/SciPy/Matplotlib；一键复现命令bash scripts/check_repro.sh（含19项pytest＋run_all＋附录表＋生成docx）。35张图存于figures/，JSON摘要存于data/experiment_results.json。</w:t>
      </w:r>
      <w:bookmarkEnd w:id="103"/>
      <w:r/>
    </w:p>
    <w:p>
      <w:pPr>
        <w:pStyle w:val="805"/>
        <w:pBdr/>
        <w:spacing/>
        <w:ind/>
        <w:rPr/>
      </w:pPr>
      <w:r/>
      <w:bookmarkStart w:id="107" w:name="关键实验数据"/>
      <w:r>
        <w:t xml:space="preserve">7.2　关键实验数据</w:t>
      </w:r>
      <w:r/>
    </w:p>
    <w:p>
      <w:pPr>
        <w:pBdr/>
        <w:spacing/>
        <w:ind/>
        <w:rPr/>
      </w:pPr>
      <w:r>
        <w:t xml:space="preserve">实验1：达到f−f*&lt;10</w:t>
      </w:r>
      <w:r>
        <w:rPr>
          <w:vertAlign w:val="superscript"/>
        </w:rPr>
        <w:t xml:space="preserve">−6</w:t>
      </w:r>
      <w:r>
        <w:t xml:space="preserve">所需的迭代步数（κ=10/100/1000）。</w:t>
      </w:r>
      <w:r/>
    </w:p>
    <w:p>
      <w:pPr>
        <w:pBdr/>
        <w:spacing w:after="140" w:before="40"/>
        <w:ind/>
        <w:jc w:val="center"/>
        <w:rPr/>
      </w:pPr>
      <w:r>
        <w:t xml:space="preserve">表3　实验1：收敛步数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κ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GD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Polyak HB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Adam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39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162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439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98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288</w:t>
            </w:r>
            <w:r/>
          </w:p>
        </w:tc>
      </w:tr>
      <w:tr>
        <w:trPr/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1000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—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340</w:t>
            </w:r>
            <w:r/>
          </w:p>
        </w:tc>
        <w:tc>
          <w:tcPr>
            <w:tcBorders/>
            <w:tcW w:w="24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1133</w:t>
            </w:r>
            <w:r/>
          </w:p>
        </w:tc>
      </w:tr>
    </w:tbl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645920"/>
                <wp:effectExtent l="0" t="0" r="0" b="0"/>
                <wp:docPr id="2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Picture" descr="figures/fig_illcond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60720" cy="164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3.60pt;height:129.60pt;mso-wrap-distance-left:0.00pt;mso-wrap-distance-top:0.00pt;mso-wrap-distance-right:0.00pt;mso-wrap-distance-bottom:0.00pt;z-index:1;" stroked="f" strokeweight="0.75pt">
                <v:imagedata r:id="rId37" o:title=""/>
                <o:lock v:ext="edit" rotation="t"/>
              </v:shape>
            </w:pict>
          </mc:Fallback>
        </mc:AlternateContent>
      </w:r>
      <w:r/>
    </w:p>
    <w:p>
      <w:pPr>
        <w:pBdr/>
        <w:spacing w:after="140" w:before="40"/>
        <w:ind/>
        <w:jc w:val="center"/>
        <w:rPr/>
      </w:pPr>
      <w:r>
        <w:t xml:space="preserve">图1　病态二次上GD/Momentum/Adam的收敛（3档κ）。</w:t>
      </w:r>
      <w:r/>
    </w:p>
    <w:p>
      <w:pPr>
        <w:pStyle w:val="816"/>
        <w:pBdr/>
        <w:spacing/>
        <w:ind/>
        <w:rPr/>
      </w:pPr>
      <w:r>
        <w:t xml:space="preserve">实验11：Nesterov（强凸版，修复后）对比Polyak HB。</w:t>
      </w:r>
      <w:r/>
    </w:p>
    <w:p>
      <w:pPr>
        <w:pBdr/>
        <w:spacing w:after="140" w:before="40"/>
        <w:ind/>
        <w:jc w:val="center"/>
        <w:rPr/>
      </w:pPr>
      <w:r>
        <w:t xml:space="preserve">表4　实验11：Nesterov与Polyak的收敛步数（修复后）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>
        <w:trPr>
          <w:tblHeader/>
        </w:trPr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κ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Nesterov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Polyak HB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70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98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1000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237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340</w:t>
            </w:r>
            <w:r/>
          </w:p>
        </w:tc>
      </w:tr>
    </w:tbl>
    <w:p>
      <w:pPr>
        <w:pStyle w:val="816"/>
        <w:pBdr/>
        <w:spacing/>
        <w:ind/>
        <w:rPr/>
      </w:pPr>
      <w:r>
        <w:t xml:space="preserve">实验25/31/32：核心定量结果。</w:t>
      </w:r>
      <w:r/>
    </w:p>
    <w:p>
      <w:pPr>
        <w:pBdr/>
        <w:spacing w:after="140" w:before="40"/>
        <w:ind/>
        <w:jc w:val="center"/>
        <w:rPr/>
      </w:pPr>
      <w:r>
        <w:t xml:space="preserve">表5　定理4/5/6/7的关键数值证据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4800"/>
      </w:tblGrid>
      <w:tr>
        <w:trPr>
          <w:tblHeader/>
        </w:trPr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量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值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Chebyshev系数极限1+β*（解析）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1.669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数值ω</w:t>
            </w:r>
            <w:r>
              <w:rPr>
                <w:vertAlign w:val="subscript"/>
              </w:rPr>
              <w:t xml:space="preserve">50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1.669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Muon更新条件数（κ(G)∈[1,3162]）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恒为1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GD更新条件数（κ(G)=1000）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3162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NS收敛盆：→+U／→−U／发散点数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86／21／13</w:t>
            </w:r>
            <w:r/>
          </w:p>
        </w:tc>
      </w:tr>
    </w:tbl>
    <w:p>
      <w:pPr>
        <w:pStyle w:val="816"/>
        <w:pBdr/>
        <w:spacing/>
        <w:ind/>
        <w:rPr/>
      </w:pPr>
      <w:r>
        <w:t xml:space="preserve">实验27：五阶对比三阶NS的最终正交化误差（5步后）。</w:t>
      </w:r>
      <w:r/>
    </w:p>
    <w:p>
      <w:pPr>
        <w:pBdr/>
        <w:spacing w:after="140" w:before="40"/>
        <w:ind/>
        <w:jc w:val="center"/>
        <w:rPr/>
      </w:pPr>
      <w:r>
        <w:t xml:space="preserve">表6　实验27：五阶NS 5步即达机器精度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>
        <w:trPr>
          <w:tblHeader/>
        </w:trPr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矩阵形状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三阶NS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五阶Higham NS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16×8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2.999e-16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5.278e-16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32×16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6.090e-16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8.262e-16</w:t>
            </w:r>
            <w:r/>
          </w:p>
        </w:tc>
      </w:tr>
      <w:tr>
        <w:trPr/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64×32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8.901e-16</w:t>
            </w:r>
            <w:r/>
          </w:p>
        </w:tc>
        <w:tc>
          <w:tcPr>
            <w:tcBorders/>
            <w:tcW w:w="32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center"/>
              <w:rPr/>
            </w:pPr>
            <w:r>
              <w:t xml:space="preserve">1.314e-15</w:t>
            </w:r>
            <w:bookmarkEnd w:id="107"/>
            <w:bookmarkEnd w:id="108"/>
            <w:r/>
          </w:p>
        </w:tc>
      </w:tr>
    </w:tbl>
    <w:p>
      <w:pPr>
        <w:pStyle w:val="804"/>
        <w:pBdr/>
        <w:spacing/>
        <w:ind/>
        <w:rPr/>
      </w:pPr>
      <w:r/>
      <w:bookmarkStart w:id="109" w:name="结论"/>
      <w:r>
        <w:t xml:space="preserve">8　结论</w:t>
      </w:r>
      <w:r/>
    </w:p>
    <w:p>
      <w:pPr>
        <w:pBdr/>
        <w:spacing/>
        <w:ind/>
        <w:rPr/>
      </w:pPr>
      <w:r>
        <w:t xml:space="preserve">(1)统一模板x</w:t>
      </w:r>
      <w:r>
        <w:rPr>
          <w:vertAlign w:val="subscript"/>
        </w:rPr>
        <w:t xml:space="preserve">k+1</w:t>
      </w:r>
      <w:r>
        <w:t xml:space="preserve">=x</w:t>
      </w:r>
      <w:r>
        <w:rPr>
          <w:vertAlign w:val="subscript"/>
        </w:rPr>
        <w:t xml:space="preserve">k</w:t>
      </w:r>
      <w:r>
        <w:t xml:space="preserve">−P</w:t>
      </w:r>
      <w:r>
        <w:rPr>
          <w:vertAlign w:val="subscript"/>
        </w:rPr>
        <w:t xml:space="preserve">k</w:t>
      </w:r>
      <w:r>
        <w:t xml:space="preserve">g</w:t>
      </w:r>
      <w:r>
        <w:rPr>
          <w:vertAlign w:val="subscript"/>
        </w:rPr>
        <w:t xml:space="preserve">k</w:t>
      </w:r>
      <w:r>
        <w:t xml:space="preserve">把GD/HB/Adam/Sophia/signSGD/Muon纳入同一框架；更进一步（第5节），它们都是LMO在不同范数下的解——GD/signSGD/Muon＝ℓ</w:t>
      </w:r>
      <w:r>
        <w:rPr>
          <w:vertAlign w:val="subscript"/>
        </w:rPr>
        <w:t xml:space="preserve">2</w:t>
      </w:r>
      <w:r>
        <w:t xml:space="preserve">/ℓ</w:t>
      </w:r>
      <w:r>
        <w:rPr>
          <w:vertAlign w:val="subscript"/>
        </w:rPr>
        <w:t xml:space="preserve">∞</w:t>
      </w:r>
      <w:r>
        <w:t xml:space="preserve">/谱范数最速下降（定理5）。</w:t>
      </w:r>
      <w:r/>
    </w:p>
    <w:p>
      <w:pPr>
        <w:pStyle w:val="816"/>
        <w:pBdr/>
        <w:spacing/>
        <w:ind/>
        <w:rPr/>
      </w:pPr>
      <w:r>
        <w:t xml:space="preserve">(2)谱半径分析精确预测收敛率：GD为(κ−1)/(κ+1)、Polyak HB为(√κ−1)/(√κ+1)；实验6的经验拟合与理论在κ=1000时相对误差0.1%。</w:t>
      </w:r>
      <w:r/>
    </w:p>
    <w:p>
      <w:pPr>
        <w:pStyle w:val="816"/>
        <w:pBdr/>
        <w:spacing/>
        <w:ind/>
        <w:rPr/>
      </w:pPr>
      <w:r>
        <w:t xml:space="preserve">(3)Heavy-ball是Chebyshev半迭代的冻结系数极限（定理4＋实验25）：ω</w:t>
      </w:r>
      <w:r>
        <w:rPr>
          <w:vertAlign w:val="subscript"/>
        </w:rPr>
        <w:t xml:space="preserve">k</w:t>
      </w:r>
      <w:r>
        <w:t xml:space="preserve">→1+β*=1.6694（吻合10</w:t>
      </w:r>
      <w:r>
        <w:rPr>
          <w:vertAlign w:val="superscript"/>
        </w:rPr>
        <w:t xml:space="preserve">−7</w:t>
      </w:r>
      <w:r>
        <w:t xml:space="preserve">）。</w:t>
      </w:r>
      <w:r/>
    </w:p>
    <w:p>
      <w:pPr>
        <w:pStyle w:val="816"/>
        <w:pBdr/>
        <w:spacing/>
        <w:ind/>
        <w:rPr/>
      </w:pPr>
      <w:r>
        <w:t xml:space="preserve">(4)Newton–Schulz二次收敛E</w:t>
      </w:r>
      <w:r>
        <w:rPr>
          <w:vertAlign w:val="subscript"/>
        </w:rPr>
        <w:t xml:space="preserve">k+1</w:t>
      </w:r>
      <w:r>
        <w:t xml:space="preserve">=−¼E</w:t>
      </w:r>
      <w:r>
        <w:rPr>
          <w:vertAlign w:val="subscript"/>
        </w:rPr>
        <w:t xml:space="preserve">k</w:t>
      </w:r>
      <w:r>
        <w:rPr>
          <w:vertAlign w:val="superscript"/>
        </w:rPr>
        <w:t xml:space="preserve">2</w:t>
      </w:r>
      <w:r>
        <w:t xml:space="preserve">(3I−E</w:t>
      </w:r>
      <w:r>
        <w:rPr>
          <w:vertAlign w:val="subscript"/>
        </w:rPr>
        <w:t xml:space="preserve">k</w:t>
      </w:r>
      <w:r>
        <w:t xml:space="preserve">)；保证收敛到正确极因子的盆是(0,√3)，越界为分形式归宿（实验30）。</w:t>
      </w:r>
      <w:r/>
    </w:p>
    <w:p>
      <w:pPr>
        <w:pStyle w:val="816"/>
        <w:pBdr/>
        <w:spacing/>
        <w:ind/>
        <w:rPr/>
      </w:pPr>
      <w:r>
        <w:t xml:space="preserve">(5)Muon是谱范数最速下降（定理7），结构性特征是更新条件数恒为1（实验31）。诚实结论：凸二次上CG最优、Muon并不加速；其优势在匹配谱范数几何的深度学习场景（本文未实验证实）。</w:t>
      </w:r>
      <w:r/>
    </w:p>
    <w:p>
      <w:pPr>
        <w:pStyle w:val="816"/>
        <w:pBdr/>
        <w:spacing/>
        <w:ind/>
        <w:rPr/>
      </w:pPr>
      <w:r>
        <w:t xml:space="preserve">(6)Adam的对角缩放用梯度幅度而非曲率，对角Hessian上κ</w:t>
      </w:r>
      <w:r>
        <w:rPr>
          <w:vertAlign w:val="subscript"/>
        </w:rPr>
        <w:t xml:space="preserve">eff</w:t>
      </w:r>
      <w:r>
        <w:t xml:space="preserve">也只到约12（oracle Jacobi到1，实验4）；最简单凸函数f=x</w:t>
      </w:r>
      <w:r>
        <w:rPr>
          <w:vertAlign w:val="superscript"/>
        </w:rPr>
        <w:t xml:space="preserve">2</w:t>
      </w:r>
      <w:r>
        <w:t xml:space="preserve">/2上存在2-极限环（实验26）。</w:t>
      </w:r>
      <w:r/>
    </w:p>
    <w:p>
      <w:pPr>
        <w:pStyle w:val="816"/>
        <w:pBdr/>
        <w:spacing/>
        <w:ind/>
        <w:rPr/>
      </w:pPr>
      <w:r>
        <w:t xml:space="preserve">(7)NAG↔AVD-ODE离散（实验29）：连续时间下三者轨迹重合。</w:t>
      </w:r>
      <w:r/>
    </w:p>
    <w:p>
      <w:pPr>
        <w:pStyle w:val="816"/>
        <w:pBdr/>
        <w:spacing/>
        <w:ind/>
        <w:rPr/>
      </w:pPr>
      <w:r>
        <w:t xml:space="preserve">不足：未做神经网络实验（需GPU集群），故Muon在深度学习里的优势未在本文实验中证实；未完整复现Remez最优NS系数；AMSGrad未与极限环精确对照；高分辨率ODE未做离散化误差实验。详见re_TODO.md。</w:t>
      </w:r>
      <w:bookmarkEnd w:id="109"/>
      <w:r/>
    </w:p>
    <w:p>
      <w:pPr>
        <w:pStyle w:val="804"/>
        <w:pBdr/>
        <w:spacing/>
        <w:ind/>
        <w:rPr/>
      </w:pPr>
      <w:r/>
      <w:bookmarkStart w:id="110" w:name="参考文献"/>
      <w:r>
        <w:t xml:space="preserve">参考文献</w:t>
      </w:r>
      <w:r/>
    </w:p>
    <w:p>
      <w:pPr>
        <w:pStyle w:val="844"/>
        <w:pBdr/>
        <w:spacing/>
        <w:ind/>
        <w:rPr/>
      </w:pPr>
      <w:r>
        <w:t xml:space="preserve">[1]　Kingma, D. P., Ba, J. Adam: A Method for Stochastic Optimization. </w:t>
      </w:r>
      <w:r>
        <w:rPr>
          <w:i/>
          <w:iCs/>
        </w:rPr>
        <w:t xml:space="preserve">ICLR</w:t>
      </w:r>
      <w:r>
        <w:t xml:space="preserve">, 2015.</w:t>
      </w:r>
      <w:r/>
    </w:p>
    <w:p>
      <w:pPr>
        <w:pStyle w:val="844"/>
        <w:pBdr/>
        <w:spacing/>
        <w:ind/>
        <w:rPr/>
      </w:pPr>
      <w:r>
        <w:t xml:space="preserve">[2]　Loshchilov, I., Hutter, F. Decoupled Weight Decay Regularization. </w:t>
      </w:r>
      <w:r>
        <w:rPr>
          <w:i/>
          <w:iCs/>
        </w:rPr>
        <w:t xml:space="preserve">ICLR</w:t>
      </w:r>
      <w:r>
        <w:t xml:space="preserve">, 2019.</w:t>
      </w:r>
      <w:r/>
    </w:p>
    <w:p>
      <w:pPr>
        <w:pStyle w:val="844"/>
        <w:pBdr/>
        <w:spacing/>
        <w:ind/>
        <w:rPr/>
      </w:pPr>
      <w:r>
        <w:t xml:space="preserve">[3]　Liu, H., et al. Sophia: A Scalable Stochastic Second-order Optimizer. </w:t>
      </w:r>
      <w:r>
        <w:rPr>
          <w:i/>
          <w:iCs/>
        </w:rPr>
        <w:t xml:space="preserve">ICLR</w:t>
      </w:r>
      <w:r>
        <w:t xml:space="preserve">, 2023.</w:t>
      </w:r>
      <w:r/>
    </w:p>
    <w:p>
      <w:pPr>
        <w:pStyle w:val="844"/>
        <w:pBdr/>
        <w:spacing/>
        <w:ind/>
        <w:rPr/>
      </w:pPr>
      <w:r>
        <w:t xml:space="preserve">[4]　Jordan, K., et al. Muon: An Optimizer for Hidden Layers in Neural Networks. 2024.</w:t>
      </w:r>
      <w:r/>
    </w:p>
    <w:p>
      <w:pPr>
        <w:pStyle w:val="844"/>
        <w:pBdr/>
        <w:spacing/>
        <w:ind/>
        <w:rPr/>
      </w:pPr>
      <w:r>
        <w:t xml:space="preserve">[5]　Liu, J., et al. Muon is Scalable for LLM Training. </w:t>
      </w:r>
      <w:r>
        <w:rPr>
          <w:i/>
          <w:iCs/>
        </w:rPr>
        <w:t xml:space="preserve">arXiv:2502.16982</w:t>
      </w:r>
      <w:r>
        <w:t xml:space="preserve">, 2025.</w:t>
      </w:r>
      <w:r/>
    </w:p>
    <w:p>
      <w:pPr>
        <w:pStyle w:val="844"/>
        <w:pBdr/>
        <w:spacing/>
        <w:ind/>
        <w:rPr/>
      </w:pPr>
      <w:r>
        <w:t xml:space="preserve">[6]　Polyak, B. T. Some Methods of Speeding up the Convergence of Iteration Methods. </w:t>
      </w:r>
      <w:r>
        <w:rPr>
          <w:i/>
          <w:iCs/>
        </w:rPr>
        <w:t xml:space="preserve">USSR Comput. Math. Math. Phys.</w:t>
      </w:r>
      <w:r>
        <w:t xml:space="preserve">, 1964, 4(5): 1–17.</w:t>
      </w:r>
      <w:r/>
    </w:p>
    <w:p>
      <w:pPr>
        <w:pStyle w:val="844"/>
        <w:pBdr/>
        <w:spacing/>
        <w:ind/>
        <w:rPr/>
      </w:pPr>
      <w:r>
        <w:t xml:space="preserve">[7]　Reddi, S. J., et al. On the Convergence of Adam and Beyond. </w:t>
      </w:r>
      <w:r>
        <w:rPr>
          <w:i/>
          <w:iCs/>
        </w:rPr>
        <w:t xml:space="preserve">ICLR</w:t>
      </w:r>
      <w:r>
        <w:t xml:space="preserve">, 2018.</w:t>
      </w:r>
      <w:r/>
    </w:p>
    <w:p>
      <w:pPr>
        <w:pStyle w:val="844"/>
        <w:pBdr/>
        <w:spacing/>
        <w:ind/>
        <w:rPr/>
      </w:pPr>
      <w:r>
        <w:t xml:space="preserve">[8]　Bock, S., Weiß, M. Non-Convergence and Limit Cycles in the Adam Optimizer. </w:t>
      </w:r>
      <w:r>
        <w:rPr>
          <w:i/>
          <w:iCs/>
        </w:rPr>
        <w:t xml:space="preserve">arXiv:2210.02070</w:t>
      </w:r>
      <w:r>
        <w:t xml:space="preserve">, 2022.</w:t>
      </w:r>
      <w:r/>
    </w:p>
    <w:p>
      <w:pPr>
        <w:pStyle w:val="844"/>
        <w:pBdr/>
        <w:spacing/>
        <w:ind/>
        <w:rPr/>
      </w:pPr>
      <w:r>
        <w:t xml:space="preserve">[9]　Kovalev, D. Understanding Gradient Orthogonalization via Non-Euclidean Trust-Region Optimization. </w:t>
      </w:r>
      <w:r>
        <w:rPr>
          <w:i/>
          <w:iCs/>
        </w:rPr>
        <w:t xml:space="preserve">arXiv:2503.12645</w:t>
      </w:r>
      <w:r>
        <w:t xml:space="preserve">, 2025.</w:t>
      </w:r>
      <w:r/>
    </w:p>
    <w:p>
      <w:pPr>
        <w:pStyle w:val="844"/>
        <w:pBdr/>
        <w:spacing/>
        <w:ind/>
        <w:rPr/>
      </w:pPr>
      <w:r>
        <w:t xml:space="preserve">[10]　Bernstein, J., Newhouse, L. Modular Duality in Deep Learning. </w:t>
      </w:r>
      <w:r>
        <w:rPr>
          <w:i/>
          <w:iCs/>
        </w:rPr>
        <w:t xml:space="preserve">arXiv:2410.21265</w:t>
      </w:r>
      <w:r>
        <w:t xml:space="preserve">, 2024.</w:t>
      </w:r>
      <w:r/>
    </w:p>
    <w:p>
      <w:pPr>
        <w:pStyle w:val="844"/>
        <w:pBdr/>
        <w:spacing/>
        <w:ind/>
        <w:rPr/>
      </w:pPr>
      <w:r>
        <w:t xml:space="preserve">[11]　Schulz, G. Iterative Berechnung der reziproken Matrix. </w:t>
      </w:r>
      <w:r>
        <w:rPr>
          <w:i/>
          <w:iCs/>
        </w:rPr>
        <w:t xml:space="preserve">ZAMM</w:t>
      </w:r>
      <w:r>
        <w:t xml:space="preserve">, 1933, 13: 57–59.</w:t>
      </w:r>
      <w:r/>
    </w:p>
    <w:p>
      <w:pPr>
        <w:pStyle w:val="844"/>
        <w:pBdr/>
        <w:spacing/>
        <w:ind/>
        <w:rPr/>
      </w:pPr>
      <w:r>
        <w:t xml:space="preserve">[12]　Higham, N. J. Functions of Matrices: Theory and Computation. </w:t>
      </w:r>
      <w:r>
        <w:rPr>
          <w:i/>
          <w:iCs/>
        </w:rPr>
        <w:t xml:space="preserve">SIAM</w:t>
      </w:r>
      <w:r>
        <w:t xml:space="preserve">, 2008.</w:t>
      </w:r>
      <w:r/>
    </w:p>
    <w:p>
      <w:pPr>
        <w:pStyle w:val="844"/>
        <w:pBdr/>
        <w:spacing/>
        <w:ind/>
        <w:rPr/>
      </w:pPr>
      <w:r>
        <w:t xml:space="preserve">[13]　Anonymous. Accelerating Newton-Schulz via Chebyshev Polynomials. </w:t>
      </w:r>
      <w:r>
        <w:rPr>
          <w:i/>
          <w:iCs/>
        </w:rPr>
        <w:t xml:space="preserve">arXiv:2506.10935</w:t>
      </w:r>
      <w:r>
        <w:t xml:space="preserve">, 2025.</w:t>
      </w:r>
      <w:r/>
    </w:p>
    <w:p>
      <w:pPr>
        <w:pStyle w:val="844"/>
        <w:pBdr/>
        <w:spacing/>
        <w:ind/>
        <w:rPr/>
      </w:pPr>
      <w:r>
        <w:t xml:space="preserve">[14]　Su, W., Boyd, S., Candès, E. J. A Differential Equation for Modeling Nesterov’s Accelerated Gradient Method. </w:t>
      </w:r>
      <w:r>
        <w:rPr>
          <w:i/>
          <w:iCs/>
        </w:rPr>
        <w:t xml:space="preserve">JMLR</w:t>
      </w:r>
      <w:r>
        <w:t xml:space="preserve">, 2016, 17: 1–43.</w:t>
      </w:r>
      <w:r/>
    </w:p>
    <w:p>
      <w:pPr>
        <w:pStyle w:val="844"/>
        <w:pBdr/>
        <w:spacing/>
        <w:ind/>
        <w:rPr/>
      </w:pPr>
      <w:r>
        <w:t xml:space="preserve">[15]　Shi, B., Du, S. S., Jordan, M. I., Su, W. J. Understanding the Acceleration Phenomenon via High-Resolution Differential Equations. </w:t>
      </w:r>
      <w:r>
        <w:rPr>
          <w:i/>
          <w:iCs/>
        </w:rPr>
        <w:t xml:space="preserve">Math. Program.</w:t>
      </w:r>
      <w:r>
        <w:t xml:space="preserve">, 2021, 195: 79–148.</w:t>
      </w:r>
      <w:r/>
    </w:p>
    <w:p>
      <w:pPr>
        <w:pStyle w:val="844"/>
        <w:pBdr/>
        <w:spacing/>
        <w:ind/>
        <w:rPr/>
      </w:pPr>
      <w:r>
        <w:t xml:space="preserve">[16]　Saad, Y. Iterative Methods for Sparse Linear Systems (2nd ed.). </w:t>
      </w:r>
      <w:r>
        <w:rPr>
          <w:i/>
          <w:iCs/>
        </w:rPr>
        <w:t xml:space="preserve">SIAM</w:t>
      </w:r>
      <w:r>
        <w:t xml:space="preserve">, 2003.</w:t>
      </w:r>
      <w:r/>
    </w:p>
    <w:p>
      <w:pPr>
        <w:pStyle w:val="844"/>
        <w:pBdr/>
        <w:spacing/>
        <w:ind/>
        <w:rPr/>
      </w:pPr>
      <w:r>
        <w:t xml:space="preserve">[17]　Trefethen, L. N., Bau, D. Numerical Linear Algebra. </w:t>
      </w:r>
      <w:r>
        <w:rPr>
          <w:i/>
          <w:iCs/>
        </w:rPr>
        <w:t xml:space="preserve">SIAM</w:t>
      </w:r>
      <w:r>
        <w:t xml:space="preserve">, 1997.</w:t>
      </w:r>
      <w:r/>
    </w:p>
    <w:p>
      <w:pPr>
        <w:pStyle w:val="844"/>
        <w:pBdr/>
        <w:spacing/>
        <w:ind/>
        <w:rPr/>
      </w:pPr>
      <w:r>
        <w:t xml:space="preserve">[18]　Nocedal, J., Wright, S. J. Numerical Optimization (2nd ed.). </w:t>
      </w:r>
      <w:r>
        <w:rPr>
          <w:i/>
          <w:iCs/>
        </w:rPr>
        <w:t xml:space="preserve">Springer</w:t>
      </w:r>
      <w:r>
        <w:t xml:space="preserve">, 2006.</w:t>
      </w:r>
      <w:bookmarkEnd w:id="110"/>
      <w:r/>
    </w:p>
    <w:p>
      <w:pPr>
        <w:pStyle w:val="804"/>
        <w:pBdr/>
        <w:spacing/>
        <w:ind/>
        <w:rPr/>
      </w:pPr>
      <w:r/>
      <w:bookmarkStart w:id="111" w:name="附录a-代码模块"/>
      <w:r>
        <w:t xml:space="preserve">附录A　代码模块</w:t>
      </w:r>
      <w:r/>
    </w:p>
    <w:p>
      <w:pPr>
        <w:pBdr/>
        <w:spacing/>
        <w:ind/>
        <w:rPr/>
      </w:pPr>
      <w:r>
        <w:t xml:space="preserve">表A1　代码模块清单</w:t>
      </w:r>
      <w:r/>
    </w:p>
    <w:tbl>
      <w:tblPr>
        <w:jc w:val="center"/>
        <w:tblW w:w="9600" w:type="dxa"/>
        <w:tblCellMar>
          <w:left w:w="108" w:type="dxa"/>
          <w:top w:w="36" w:type="dxa"/>
          <w:right w:w="108" w:type="dxa"/>
          <w:bottom w:w="36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4800"/>
      </w:tblGrid>
      <w:tr>
        <w:trPr>
          <w:tblHeader/>
        </w:trPr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源文件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内容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src/optimizers.py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gd/momentum/nesterov/adam/adamw/sophia/jacobi/signsgd＋κ(P</w:t>
            </w:r>
            <w:r>
              <w:rPr>
                <w:vertAlign w:val="subscript"/>
              </w:rPr>
              <w:t xml:space="preserve">k</w:t>
            </w:r>
            <w:r>
              <w:t xml:space="preserve">A)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src/newton_schulz.py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NS三阶＋五阶Higham＋胖矩阵分支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src/chebyshev.py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Chebyshev半迭代＋minimax误差多项式＋HB-Polyak形式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src/steepest_descent_norms.py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范数最速下降三元组：ℓ</w:t>
            </w:r>
            <w:r>
              <w:rPr>
                <w:vertAlign w:val="subscript"/>
              </w:rPr>
              <w:t xml:space="preserve">2</w:t>
            </w:r>
            <w:r>
              <w:t xml:space="preserve">/ℓ</w:t>
            </w:r>
            <w:r>
              <w:rPr>
                <w:vertAlign w:val="subscript"/>
              </w:rPr>
              <w:t xml:space="preserve">∞</w:t>
            </w:r>
            <w:r>
              <w:t xml:space="preserve">/谱的LMO＋对偶范数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src/spectral_trust_region.py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谱范数恢复＋Muon/GD/Adam对照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src/adam_limit_cycle.py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标量Adam＋2-极限环检测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src/ode_integrators.py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梯度流/HB-ODE/AVD-ODE/高分辨率NAG-ODE的RK4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src/pcg.py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CG／PCG＋Jacobi＋理论上界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experiments/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run_all.py（1–10）＋extended_experiments.py（11–32）</w:t>
            </w:r>
            <w:r/>
          </w:p>
        </w:tc>
      </w:tr>
      <w:tr>
        <w:trPr/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tests/</w:t>
            </w:r>
            <w:r/>
          </w:p>
        </w:tc>
        <w:tc>
          <w:tcPr>
            <w:tcBorders/>
            <w:tcW w:w="4800" w:type="dxa"/>
            <w:textDirection w:val="lrTb"/>
            <w:noWrap w:val="false"/>
          </w:tcPr>
          <w:p>
            <w:pPr>
              <w:pStyle w:val="886"/>
              <w:pBdr/>
              <w:spacing/>
              <w:ind/>
              <w:jc w:val="left"/>
              <w:rPr/>
            </w:pPr>
            <w:r>
              <w:t xml:space="preserve">19项pytest</w:t>
            </w:r>
            <w:bookmarkEnd w:id="111"/>
            <w:r/>
          </w:p>
        </w:tc>
      </w:tr>
    </w:tbl>
    <w:p>
      <w:pPr>
        <w:pStyle w:val="804"/>
        <w:pBdr/>
        <w:spacing/>
        <w:ind/>
        <w:rPr/>
      </w:pPr>
      <w:r/>
      <w:bookmarkStart w:id="118" w:name="附录b-完整证明节选"/>
      <w:r>
        <w:t xml:space="preserve">附录B　完整证明（节选）</w:t>
      </w:r>
      <w:r/>
    </w:p>
    <w:p>
      <w:pPr>
        <w:pBdr/>
        <w:spacing/>
        <w:ind/>
        <w:rPr/>
      </w:pPr>
      <w:r>
        <w:rPr>
          <w:b/>
          <w:bCs/>
        </w:rPr>
        <w:t xml:space="preserve">B.1　定理4（HB＝Chebyshev冻结系数极限）.</w:t>
      </w:r>
      <w:r>
        <w:t xml:space="preserve">　Chebyshev半迭代为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3555" cy="347472"/>
                <wp:effectExtent l="0" t="0" r="0" b="0"/>
                <wp:docPr id="24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Picture" descr="figures/eq_cheb_rec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213555" cy="3474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31.78pt;height:27.36pt;mso-wrap-distance-left:0.00pt;mso-wrap-distance-top:0.00pt;mso-wrap-distance-right:0.00pt;mso-wrap-distance-bottom:0.00pt;z-index:1;" stroked="f" strokeweight="0.75pt">
                <v:imagedata r:id="rId38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其中σ=(L−μ)/(L+μ)、d=(L+μ)/2。令ω</w:t>
      </w:r>
      <w:r>
        <w:rPr>
          <w:vertAlign w:val="subscript"/>
        </w:rPr>
        <w:t xml:space="preserve">k</w:t>
      </w:r>
      <w:r>
        <w:t xml:space="preserve">→ω</w:t>
      </w:r>
      <w:r>
        <w:rPr>
          <w:vertAlign w:val="subscript"/>
        </w:rPr>
        <w:t xml:space="preserve">∞</w:t>
      </w:r>
      <w:r>
        <w:t xml:space="preserve">，解σ</w:t>
      </w:r>
      <w:r>
        <w:rPr>
          <w:vertAlign w:val="superscript"/>
        </w:rPr>
        <w:t xml:space="preserve">2</w:t>
      </w:r>
      <w:r>
        <w:t xml:space="preserve">ω</w:t>
      </w:r>
      <w:r>
        <w:rPr>
          <w:vertAlign w:val="subscript"/>
        </w:rPr>
        <w:t xml:space="preserve">∞</w:t>
      </w:r>
      <w:r>
        <w:rPr>
          <w:vertAlign w:val="superscript"/>
        </w:rPr>
        <w:t xml:space="preserve">2</w:t>
      </w:r>
      <w:r>
        <w:t xml:space="preserve">−4ω</w:t>
      </w:r>
      <w:r>
        <w:rPr>
          <w:vertAlign w:val="subscript"/>
        </w:rPr>
        <w:t xml:space="preserve">∞</w:t>
      </w:r>
      <w:r>
        <w:t xml:space="preserve">+4=0得</w:t>
      </w:r>
      <w:r/>
    </w:p>
    <w:p>
      <w:pPr>
        <w:pBdr/>
        <w:spacing w:after="10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52728" cy="347472"/>
                <wp:effectExtent l="0" t="0" r="0" b="0"/>
                <wp:docPr id="25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Picture" descr="figures/eq_omega_inf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1252728" cy="3474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98.64pt;height:27.36pt;mso-wrap-distance-left:0.00pt;mso-wrap-distance-top:0.00pt;mso-wrap-distance-right:0.00pt;mso-wrap-distance-bottom:0.00pt;z-index:1;" stroked="f" strokeweight="0.75pt">
                <v:imagedata r:id="rId39" o:title=""/>
                <o:lock v:ext="edit" rotation="t"/>
              </v:shape>
            </w:pict>
          </mc:Fallback>
        </mc:AlternateContent>
      </w:r>
      <w:r/>
    </w:p>
    <w:p>
      <w:pPr>
        <w:pStyle w:val="816"/>
        <w:pBdr/>
        <w:spacing/>
        <w:ind/>
        <w:rPr/>
      </w:pPr>
      <w:r>
        <w:t xml:space="preserve">代入得x</w:t>
      </w:r>
      <w:r>
        <w:rPr>
          <w:vertAlign w:val="subscript"/>
        </w:rPr>
        <w:t xml:space="preserve">k+1</w:t>
      </w:r>
      <w:r>
        <w:t xml:space="preserve">=x</w:t>
      </w:r>
      <w:r>
        <w:rPr>
          <w:vertAlign w:val="subscript"/>
        </w:rPr>
        <w:t xml:space="preserve">k</w:t>
      </w:r>
      <w:r>
        <w:t xml:space="preserve">−(ω</w:t>
      </w:r>
      <w:r>
        <w:rPr>
          <w:vertAlign w:val="subscript"/>
        </w:rPr>
        <w:t xml:space="preserve">∞</w:t>
      </w:r>
      <w:r>
        <w:t xml:space="preserve">/d)(Ax</w:t>
      </w:r>
      <w:r>
        <w:rPr>
          <w:vertAlign w:val="subscript"/>
        </w:rPr>
        <w:t xml:space="preserve">k</w:t>
      </w:r>
      <w:r>
        <w:t xml:space="preserve">−b)+(ω</w:t>
      </w:r>
      <w:r>
        <w:rPr>
          <w:vertAlign w:val="subscript"/>
        </w:rPr>
        <w:t xml:space="preserve">∞</w:t>
      </w:r>
      <w:r>
        <w:t xml:space="preserve">−1)(x</w:t>
      </w:r>
      <w:r>
        <w:rPr>
          <w:vertAlign w:val="subscript"/>
        </w:rPr>
        <w:t xml:space="preserve">k</w:t>
      </w:r>
      <w:r>
        <w:t xml:space="preserve">−x</w:t>
      </w:r>
      <w:r>
        <w:rPr>
          <w:vertAlign w:val="subscript"/>
        </w:rPr>
        <w:t xml:space="preserve">k−1</w:t>
      </w:r>
      <w:r>
        <w:t xml:space="preserve">)，恰为Heavy-ball。由1−σ</w:t>
      </w:r>
      <w:r>
        <w:rPr>
          <w:vertAlign w:val="superscript"/>
        </w:rPr>
        <w:t xml:space="preserve">2</w:t>
      </w:r>
      <w:r>
        <w:t xml:space="preserve">=4Lμ/(L+μ)</w:t>
      </w:r>
      <w:r>
        <w:rPr>
          <w:vertAlign w:val="superscript"/>
        </w:rPr>
        <w:t xml:space="preserve">2</w:t>
      </w:r>
      <w:r>
        <w:t xml:space="preserve">验证ω</w:t>
      </w:r>
      <w:r>
        <w:rPr>
          <w:vertAlign w:val="subscript"/>
        </w:rPr>
        <w:t xml:space="preserve">∞</w:t>
      </w:r>
      <w:r>
        <w:t xml:space="preserve">/d=4/(√L+√μ)</w:t>
      </w:r>
      <w:r>
        <w:rPr>
          <w:vertAlign w:val="superscript"/>
        </w:rPr>
        <w:t xml:space="preserve">2</w:t>
      </w:r>
      <w:r>
        <w:t xml:space="preserve">=η*、ω</w:t>
      </w:r>
      <w:r>
        <w:rPr>
          <w:vertAlign w:val="subscript"/>
        </w:rPr>
        <w:t xml:space="preserve">∞</w:t>
      </w:r>
      <w:r>
        <w:t xml:space="preserve">−1=β*。故Chebyshev在k→∞退化为Polyak最优Heavy-ball。　□</w: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B.2　定理5（范数最速下降三元组）.</w:t>
      </w:r>
      <w:r>
        <w:t xml:space="preserve">　ℓ</w:t>
      </w:r>
      <w:r>
        <w:rPr>
          <w:vertAlign w:val="subscript"/>
        </w:rPr>
        <w:t xml:space="preserve">2</w:t>
      </w:r>
      <w:r>
        <w:t xml:space="preserve">由Cauchy–Schwarz取等得d*=−g/‖g‖</w:t>
      </w:r>
      <w:r>
        <w:rPr>
          <w:vertAlign w:val="subscript"/>
        </w:rPr>
        <w:t xml:space="preserve">2</w:t>
      </w:r>
      <w:r>
        <w:t xml:space="preserve">；ℓ</w:t>
      </w:r>
      <w:r>
        <w:rPr>
          <w:vertAlign w:val="subscript"/>
        </w:rPr>
        <w:t xml:space="preserve">∞</w:t>
      </w:r>
      <w:r>
        <w:t xml:space="preserve">逐坐标取d</w:t>
      </w:r>
      <w:r>
        <w:rPr>
          <w:vertAlign w:val="subscript"/>
        </w:rPr>
        <w:t xml:space="preserve">i</w:t>
      </w:r>
      <w:r>
        <w:t xml:space="preserve">=−sign(g</w:t>
      </w:r>
      <w:r>
        <w:rPr>
          <w:vertAlign w:val="subscript"/>
        </w:rPr>
        <w:t xml:space="preserve">i</w:t>
      </w:r>
      <w:r>
        <w:t xml:space="preserve">)得−‖g‖</w:t>
      </w:r>
      <w:r>
        <w:rPr>
          <w:vertAlign w:val="subscript"/>
        </w:rPr>
        <w:t xml:space="preserve">1</w:t>
      </w:r>
      <w:r>
        <w:t xml:space="preserve">；谱范数由von Neumann迹不等式⟨G,D⟩≥−Σσ</w:t>
      </w:r>
      <w:r>
        <w:rPr>
          <w:vertAlign w:val="subscript"/>
        </w:rPr>
        <w:t xml:space="preserve">i</w:t>
      </w:r>
      <w:r>
        <w:t xml:space="preserve">(G)=−‖G‖</w:t>
      </w:r>
      <w:r>
        <w:rPr>
          <w:vertAlign w:val="subscript"/>
        </w:rPr>
        <w:t xml:space="preserve">*</w:t>
      </w:r>
      <w:r>
        <w:t xml:space="preserve">，等号在D=−UV</w:t>
      </w:r>
      <w:r>
        <w:rPr>
          <w:vertAlign w:val="superscript"/>
        </w:rPr>
        <w:t xml:space="preserve">⊤</w:t>
      </w:r>
      <w:r>
        <w:t xml:space="preserve">取到。对偶配对为ℓ</w:t>
      </w:r>
      <w:r>
        <w:rPr>
          <w:vertAlign w:val="subscript"/>
        </w:rPr>
        <w:t xml:space="preserve">2</w:t>
      </w:r>
      <w:r>
        <w:t xml:space="preserve">↔ℓ</w:t>
      </w:r>
      <w:r>
        <w:rPr>
          <w:vertAlign w:val="subscript"/>
        </w:rPr>
        <w:t xml:space="preserve">2</w:t>
      </w:r>
      <w:r>
        <w:t xml:space="preserve">、ℓ</w:t>
      </w:r>
      <w:r>
        <w:rPr>
          <w:vertAlign w:val="subscript"/>
        </w:rPr>
        <w:t xml:space="preserve">∞</w:t>
      </w:r>
      <w:r>
        <w:t xml:space="preserve">↔ℓ</w:t>
      </w:r>
      <w:r>
        <w:rPr>
          <w:vertAlign w:val="subscript"/>
        </w:rPr>
        <w:t xml:space="preserve">1</w:t>
      </w:r>
      <w:r>
        <w:t xml:space="preserve">、谱↔核范数。　□</w:t>
      </w:r>
      <w:r/>
    </w:p>
    <w:p>
      <w:pPr>
        <w:pStyle w:val="816"/>
        <w:pBdr/>
        <w:spacing/>
        <w:ind/>
        <w:rPr/>
      </w:pPr>
      <w:r>
        <w:rPr>
          <w:b/>
          <w:bCs/>
        </w:rPr>
        <w:t xml:space="preserve">B.3　定理7（极分解trust-region最优性）.</w:t>
      </w:r>
      <w:r>
        <w:t xml:space="preserve">　由von Neumann迹不等式|tr(Δ</w:t>
      </w:r>
      <w:r>
        <w:rPr>
          <w:vertAlign w:val="superscript"/>
        </w:rPr>
        <w:t xml:space="preserve">⊤</w:t>
      </w:r>
      <w:r>
        <w:t xml:space="preserve">G)|≤Σσ</w:t>
      </w:r>
      <w:r>
        <w:rPr>
          <w:vertAlign w:val="subscript"/>
        </w:rPr>
        <w:t xml:space="preserve">i</w:t>
      </w:r>
      <w:r>
        <w:t xml:space="preserve">(Δ)σ</w:t>
      </w:r>
      <w:r>
        <w:rPr>
          <w:vertAlign w:val="subscript"/>
        </w:rPr>
        <w:t xml:space="preserve">i</w:t>
      </w:r>
      <w:r>
        <w:t xml:space="preserve">(G)≤t‖G‖</w:t>
      </w:r>
      <w:r>
        <w:rPr>
          <w:vertAlign w:val="subscript"/>
        </w:rPr>
        <w:t xml:space="preserve">*</w:t>
      </w:r>
      <w:r>
        <w:t xml:space="preserve">，等号在Δ=−t·UV</w:t>
      </w:r>
      <w:r>
        <w:rPr>
          <w:vertAlign w:val="superscript"/>
        </w:rPr>
        <w:t xml:space="preserve">⊤</w:t>
      </w:r>
      <w:r>
        <w:t xml:space="preserve">时取到。　□</w:t>
      </w:r>
      <w:bookmarkEnd w:id="118"/>
      <w:r/>
    </w:p>
    <w:p>
      <w:pPr>
        <w:pStyle w:val="804"/>
        <w:pBdr/>
        <w:spacing/>
        <w:ind/>
        <w:rPr/>
      </w:pPr>
      <w:r/>
      <w:bookmarkStart w:id="119" w:name="附录c-超参与复现"/>
      <w:r>
        <w:t xml:space="preserve">附录C　超参与复现</w:t>
      </w:r>
      <w:r/>
    </w:p>
    <w:p>
      <w:pPr>
        <w:pBdr/>
        <w:spacing/>
        <w:ind/>
        <w:rPr/>
      </w:pPr>
      <w:r>
        <w:t xml:space="preserve">全局超参（experiments/config.py）：DIM=20、CONDITION_NUMBERS=[10,100,1000]、MAX_ITER=2000、TOL=10</w:t>
      </w:r>
      <w:r>
        <w:rPr>
          <w:vertAlign w:val="superscript"/>
        </w:rPr>
        <w:t xml:space="preserve">−6</w:t>
      </w:r>
      <w:r>
        <w:t xml:space="preserve">、SEED=42、SEEDS=[0,1,2,42,123]、ADAM_LR=0.1。一键复现：bash scripts/check_repro.sh。</w:t>
      </w:r>
      <w:bookmarkEnd w:id="119"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Restart w:val="eachPage"/>
      </w:footnotePr>
      <w:endnotePr/>
      <w:type w:val="nextPage"/>
      <w:pgSz w:h="16840" w:orient="portrait" w:w="11907"/>
      <w:pgMar w:top="567" w:right="822" w:bottom="1247" w:left="822" w:header="737" w:footer="567" w:gutter="0"/>
      <w:pgNumType w:start="1"/>
      <w:cols w:num="1" w:sep="0" w:space="425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_GB2312">
    <w:panose1 w:val="02000009000000000000"/>
  </w:font>
  <w:font w:name="·s²Ó©úÅé">
    <w:panose1 w:val="02000009000000000000"/>
  </w:font>
  <w:font w:name="仿宋_GB2312">
    <w:panose1 w:val="02000009000000000000"/>
  </w:font>
  <w:font w:name="黑体">
    <w:panose1 w:val="02000506000000020000"/>
  </w:font>
  <w:font w:name="Arial">
    <w:panose1 w:val="020B0604020202020204"/>
  </w:font>
  <w:font w:name="Monotype Sorts">
    <w:panose1 w:val="05010000000000000000"/>
  </w:font>
  <w:font w:name="宋体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framePr w:hAnchor="margin" w:vAnchor="text" w:wrap="around" w:xAlign="right" w:y="1"/>
      <w:pBdr/>
      <w:spacing/>
      <w:ind/>
      <w:rPr/>
    </w:pPr>
    <w:r/>
    <w:r/>
  </w:p>
  <w:p>
    <w:pPr>
      <w:pStyle w:val="817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framePr w:hAnchor="margin" w:vAnchor="text" w:wrap="around" w:xAlign="right" w:y="1"/>
      <w:pBdr/>
      <w:spacing/>
      <w:ind/>
      <w:rPr/>
    </w:pPr>
    <w:r/>
    <w:r/>
  </w:p>
  <w:p>
    <w:pPr>
      <w:pStyle w:val="817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pBdr/>
      <w:spacing/>
      <w:ind w:right="360" w:firstLine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8"/>
      <w:framePr w:h="227" w:hAnchor="text" w:hSpace="181" w:vAnchor="text" w:w="6503" w:wrap="around" w:x="171" w:y="-56"/>
      <w:pBdr>
        <w:bottom w:val="none" w:color="000000" w:sz="0" w:space="0"/>
      </w:pBdr>
      <w:tabs>
        <w:tab w:val="right" w:leader="none" w:pos="7632"/>
      </w:tabs>
      <w:spacing/>
      <w:ind/>
      <w:jc w:val="left"/>
      <w:rPr>
        <w:rFonts w:eastAsia="楷体_GB2312"/>
      </w:rPr>
    </w:pPr>
    <w:r>
      <w:rPr>
        <w:rFonts w:hint="eastAsia" w:eastAsia="楷体_GB2312"/>
      </w:rPr>
      <w:t xml:space="preserve">赵泽霖、史云天</w:t>
    </w:r>
    <w:r>
      <w:rPr>
        <w:rFonts w:eastAsia="楷体_GB2312"/>
      </w:rPr>
      <w:t xml:space="preserve">:</w:t>
    </w:r>
    <w:r>
      <w:rPr>
        <w:rFonts w:hint="eastAsia" w:eastAsia="楷体_GB2312"/>
      </w:rPr>
      <w:t xml:space="preserve">正交化梯度方法的数值分析视角</w:t>
    </w:r>
    <w:r>
      <w:rPr>
        <w:rFonts w:eastAsia="楷体_GB2312"/>
      </w:rPr>
    </w:r>
  </w:p>
  <w:p>
    <w:pPr>
      <w:framePr w:h="227" w:hAnchor="text" w:hSpace="181" w:vAnchor="text" w:wrap="around" w:xAlign="right" w:y="-56"/>
      <w:pBdr/>
      <w:tabs>
        <w:tab w:val="left" w:leader="none" w:pos="170"/>
      </w:tabs>
      <w:spacing/>
      <w:ind w:right="170"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  <w:p>
    <w:pPr>
      <w:pStyle w:val="818"/>
      <w:pBdr/>
      <w:tabs>
        <w:tab w:val="right" w:leader="none" w:pos="7632"/>
      </w:tabs>
      <w:spacing w:after="220"/>
      <w:ind/>
      <w:jc w:val="both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framePr w:h="227" w:hAnchor="text" w:hSpace="181" w:vAnchor="text" w:wrap="around" w:y="-56"/>
      <w:pBdr/>
      <w:tabs>
        <w:tab w:val="left" w:leader="none" w:pos="170"/>
      </w:tabs>
      <w:spacing/>
      <w:ind w:left="170"/>
      <w:jc w:val="lef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  <w:p>
    <w:pPr>
      <w:framePr w:h="227" w:hAnchor="text" w:hSpace="181" w:vAnchor="text" w:w="3969" w:wrap="around" w:xAlign="right" w:y="-61"/>
      <w:pBdr/>
      <w:tabs>
        <w:tab w:val="left" w:leader="none" w:pos="170"/>
      </w:tabs>
      <w:spacing/>
      <w:ind/>
      <w:jc w:val="right"/>
      <w:rPr/>
    </w:pPr>
    <w:r>
      <w:t xml:space="preserve">   </w:t>
    </w:r>
    <w:r/>
  </w:p>
  <w:p>
    <w:pPr>
      <w:pStyle w:val="818"/>
      <w:pBdr/>
      <w:tabs>
        <w:tab w:val="center" w:leader="none" w:pos="-2184"/>
      </w:tabs>
      <w:spacing w:after="220"/>
      <w:ind/>
      <w:jc w:val="left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framePr w:h="425" w:hAnchor="text" w:hSpace="181" w:vAnchor="text" w:w="1276" w:wrap="around" w:xAlign="right" w:y="-22"/>
      <w:pBdr/>
      <w:spacing/>
      <w:ind/>
      <w:jc w:val="right"/>
      <w:rPr/>
    </w:pPr>
    <w:r/>
    <w:r/>
  </w:p>
  <w:p>
    <w:pPr>
      <w:pStyle w:val="823"/>
      <w:pBdr/>
      <w:spacing/>
      <w:ind/>
      <w:rPr/>
    </w:pPr>
    <w:r>
      <w:rPr>
        <w:rFonts w:hint="eastAsia"/>
      </w:rPr>
      <w:t xml:space="preserve">“</w:t>
    </w:r>
    <w:r>
      <w:rPr>
        <w:rFonts w:hint="eastAsia"/>
      </w:rPr>
      <w:t xml:space="preserve">数值分析</w:t>
    </w:r>
    <w:r>
      <w:rPr>
        <w:rFonts w:hint="eastAsia"/>
      </w:rPr>
      <w:t xml:space="preserve">”</w:t>
    </w:r>
    <w:r>
      <w:rPr>
        <w:rFonts w:hint="eastAsia"/>
      </w:rPr>
      <w:t xml:space="preserve">期末</w:t>
    </w:r>
    <w:r>
      <w:rPr>
        <w:rFonts w:hint="eastAsia"/>
      </w:rPr>
      <w:t xml:space="preserve">项目</w:t>
    </w:r>
    <w:r>
      <w:t xml:space="preserve">总结</w:t>
    </w:r>
    <w:r>
      <w:rPr>
        <w:rFonts w:hint="eastAsia"/>
      </w:rPr>
      <w:t xml:space="preserve">报告（</w:t>
    </w:r>
    <w:r>
      <w:rPr>
        <w:rFonts w:hint="eastAsia"/>
      </w:rPr>
      <w:t xml:space="preserve">20</w:t>
    </w:r>
    <w:r>
      <w:t xml:space="preserve">2</w:t>
    </w:r>
    <w:r>
      <w:t xml:space="preserve">5</w:t>
    </w:r>
    <w:r>
      <w:rPr>
        <w:rFonts w:hint="eastAsia"/>
      </w:rPr>
      <w:t xml:space="preserve">年</w:t>
    </w:r>
    <w:r>
      <w:rPr>
        <w:rFonts w:hint="eastAsia"/>
      </w:rPr>
      <w:t xml:space="preserve">春</w:t>
    </w:r>
    <w:r>
      <w:rPr>
        <w:rFonts w:hint="eastAsia"/>
      </w:rPr>
      <w:t xml:space="preserve">季学期）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5451B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>
        <w:b/>
        <w:i w:val="0"/>
        <w:sz w:val="21"/>
      </w:rPr>
      <w:start w:val="1"/>
      <w:suff w:val="tab"/>
    </w:lvl>
    <w:lvl w:ilvl="1">
      <w:isLgl w:val="false"/>
      <w:lvlJc w:val="left"/>
      <w:lvlText w:val="%1.%2  "/>
      <w:numFmt w:val="decimal"/>
      <w:pPr>
        <w:pBdr/>
        <w:tabs>
          <w:tab w:val="num" w:leader="none" w:pos="360"/>
        </w:tabs>
        <w:spacing/>
        <w:ind w:firstLine="0" w:left="0"/>
      </w:pPr>
      <w:rPr>
        <w:rFonts w:hint="default" w:ascii="Times New Roman" w:hAnsi="Times New Roman"/>
        <w:b/>
        <w:i w:val="0"/>
        <w:sz w:val="18"/>
      </w:rPr>
      <w:start w:val="1"/>
      <w:suff w:val="tab"/>
    </w:lvl>
    <w:lvl w:ilvl="2">
      <w:isLgl w:val="false"/>
      <w:lvlJc w:val="left"/>
      <w:lvlText w:val="%1.%2.%3  "/>
      <w:numFmt w:val="decimal"/>
      <w:pPr>
        <w:pBdr/>
        <w:tabs>
          <w:tab w:val="num" w:leader="none" w:pos="720"/>
        </w:tabs>
        <w:spacing/>
        <w:ind w:firstLine="0" w:left="0"/>
      </w:pPr>
      <w:pStyle w:val="806"/>
      <w:rPr>
        <w:rFonts w:hint="default" w:ascii="Times New Roman" w:hAnsi="Times New Roman"/>
        <w:b w:val="0"/>
        <w:i w:val="0"/>
        <w:sz w:val="18"/>
      </w:rPr>
      <w:start w:val="1"/>
      <w:suff w:val="tab"/>
    </w:lvl>
    <w:lvl w:ilvl="3">
      <w:isLgl w:val="false"/>
      <w:lvlJc w:val="left"/>
      <w:lvlText w:val="%1.%2.%3.%4  "/>
      <w:numFmt w:val="decimal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/>
        <w:b/>
        <w:i w:val="0"/>
        <w:sz w:val="1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eastAsia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eastAsia"/>
      </w:rPr>
      <w:start w:val="1"/>
      <w:suff w:val="tab"/>
    </w:lvl>
  </w:abstractNum>
  <w:abstractNum w:abstractNumId="1">
    <w:nsid w:val="4BBC2CA8"/>
    <w:lvl w:ilvl="0">
      <w:isLgl w:val="false"/>
      <w:lvlJc w:val="left"/>
      <w:lvlText w:val="%1．"/>
      <w:numFmt w:val="upperLetter"/>
      <w:pPr>
        <w:pBdr/>
        <w:tabs>
          <w:tab w:val="num" w:leader="none" w:pos="360"/>
        </w:tabs>
        <w:spacing/>
        <w:ind w:firstLine="0" w:left="0"/>
      </w:pPr>
      <w:pStyle w:val="804"/>
      <w:rPr>
        <w:rFonts w:ascii="Times New Roman" w:hAnsi="Times New Roman" w:eastAsia="黑体" w:cs="Times New Roman"/>
        <w:b/>
        <w:i w:val="0"/>
        <w:sz w:val="21"/>
      </w:rPr>
      <w:start w:val="1"/>
      <w:suff w:val="tab"/>
    </w:lvl>
    <w:lvl w:ilvl="1">
      <w:isLgl w:val="false"/>
      <w:lvlJc w:val="left"/>
      <w:lvlText w:val="%1.%2  "/>
      <w:numFmt w:val="decimal"/>
      <w:pPr>
        <w:pBdr/>
        <w:tabs>
          <w:tab w:val="num" w:leader="none" w:pos="360"/>
        </w:tabs>
        <w:spacing/>
        <w:ind w:firstLine="0" w:left="0"/>
      </w:pPr>
      <w:pStyle w:val="805"/>
      <w:rPr>
        <w:rFonts w:hint="default" w:ascii="Times New Roman" w:hAnsi="Times New Roman"/>
        <w:b/>
        <w:i w:val="0"/>
        <w:sz w:val="18"/>
      </w:rPr>
      <w:start w:val="1"/>
      <w:suff w:val="tab"/>
    </w:lvl>
    <w:lvl w:ilvl="2">
      <w:isLgl w:val="false"/>
      <w:lvlJc w:val="left"/>
      <w:lvlText w:val="%1.%2.%3  "/>
      <w:numFmt w:val="decimal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/>
        <w:b w:val="0"/>
        <w:i w:val="0"/>
        <w:sz w:val="18"/>
      </w:rPr>
      <w:start w:val="1"/>
      <w:suff w:val="tab"/>
    </w:lvl>
    <w:lvl w:ilvl="3">
      <w:isLgl w:val="false"/>
      <w:lvlJc w:val="left"/>
      <w:lvlText w:val="%1.%2.%3.%4  "/>
      <w:numFmt w:val="decimal"/>
      <w:pPr>
        <w:pBdr/>
        <w:tabs>
          <w:tab w:val="num" w:leader="none" w:pos="720"/>
        </w:tabs>
        <w:spacing/>
        <w:ind w:firstLine="0" w:left="0"/>
      </w:pPr>
      <w:pStyle w:val="807"/>
      <w:rPr>
        <w:rFonts w:hint="default" w:ascii="Times New Roman" w:hAnsi="Times New Roman"/>
        <w:b/>
        <w:i w:val="0"/>
        <w:sz w:val="1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808"/>
      <w:rPr>
        <w:rFonts w:hint="eastAsia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809"/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810"/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811"/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812"/>
      <w:rPr>
        <w:rFonts w:hint="eastAsia"/>
      </w:rPr>
      <w:start w:val="1"/>
      <w:suff w:val="tab"/>
    </w:lvl>
  </w:abstractNum>
  <w:abstractNum w:abstractNumId="2">
    <w:nsid w:val="612B6CE2"/>
    <w:lvl w:ilvl="0">
      <w:isLgl w:val="false"/>
      <w:lvlJc w:val="right"/>
      <w:lvlText w:val="[%1]  "/>
      <w:numFmt w:val="decimal"/>
      <w:pPr>
        <w:pBdr/>
        <w:tabs>
          <w:tab w:val="num" w:leader="none" w:pos="419"/>
        </w:tabs>
        <w:spacing/>
        <w:ind w:hanging="79" w:left="419"/>
      </w:pPr>
      <w:pStyle w:val="844"/>
      <w:rPr>
        <w:rFonts w:hint="default" w:ascii="Times New Roman" w:hAnsi="Times New Roman" w:eastAsia="宋体"/>
        <w:b w:val="0"/>
        <w:i w:val="0"/>
        <w:sz w:val="15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abstractNum w:abstractNumId="3">
    <w:nsid w:val="631B5AE9"/>
    <w:lvl w:ilvl="0">
      <w:isLgl w:val="false"/>
      <w:lvlJc w:val="right"/>
      <w:lvlText w:val="[%1]  "/>
      <w:numFmt w:val="decimal"/>
      <w:pPr>
        <w:pBdr/>
        <w:tabs>
          <w:tab w:val="num" w:leader="none" w:pos="418"/>
        </w:tabs>
        <w:spacing/>
        <w:ind w:hanging="21" w:left="418"/>
      </w:pPr>
      <w:pStyle w:val="846"/>
      <w:rPr>
        <w:rFonts w:hint="default" w:ascii="Times New Roman" w:hAnsi="Times New Roman" w:eastAsia="宋体"/>
        <w:b w:val="0"/>
        <w:i w:val="0"/>
        <w:sz w:val="15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abstractNum w:abstractNumId="4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13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3"/>
    <w:link w:val="8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3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3"/>
    <w:link w:val="8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3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3"/>
    <w:link w:val="8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3"/>
    <w:link w:val="8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3"/>
    <w:link w:val="8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3"/>
    <w:link w:val="8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3"/>
    <w:next w:val="80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1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3"/>
    <w:link w:val="8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3"/>
    <w:next w:val="80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0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3"/>
    <w:next w:val="80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3"/>
    <w:link w:val="818"/>
    <w:uiPriority w:val="99"/>
    <w:pPr>
      <w:pBdr/>
      <w:spacing/>
      <w:ind/>
    </w:pPr>
  </w:style>
  <w:style w:type="character" w:styleId="179">
    <w:name w:val="Footer Char"/>
    <w:basedOn w:val="813"/>
    <w:link w:val="817"/>
    <w:uiPriority w:val="99"/>
    <w:pPr>
      <w:pBdr/>
      <w:spacing/>
      <w:ind/>
    </w:pPr>
  </w:style>
  <w:style w:type="character" w:styleId="182">
    <w:name w:val="Footnote Text Char"/>
    <w:basedOn w:val="813"/>
    <w:link w:val="82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Hyperlink"/>
    <w:basedOn w:val="8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3"/>
    <w:next w:val="803"/>
    <w:uiPriority w:val="39"/>
    <w:unhideWhenUsed/>
    <w:pPr>
      <w:pBdr/>
      <w:spacing w:after="100"/>
      <w:ind/>
    </w:pPr>
  </w:style>
  <w:style w:type="paragraph" w:styleId="190">
    <w:name w:val="toc 2"/>
    <w:basedOn w:val="803"/>
    <w:next w:val="803"/>
    <w:uiPriority w:val="39"/>
    <w:unhideWhenUsed/>
    <w:pPr>
      <w:pBdr/>
      <w:spacing w:after="100"/>
      <w:ind w:left="220"/>
    </w:pPr>
  </w:style>
  <w:style w:type="paragraph" w:styleId="191">
    <w:name w:val="toc 3"/>
    <w:basedOn w:val="803"/>
    <w:next w:val="803"/>
    <w:uiPriority w:val="39"/>
    <w:unhideWhenUsed/>
    <w:pPr>
      <w:pBdr/>
      <w:spacing w:after="100"/>
      <w:ind w:left="440"/>
    </w:pPr>
  </w:style>
  <w:style w:type="paragraph" w:styleId="192">
    <w:name w:val="toc 4"/>
    <w:basedOn w:val="803"/>
    <w:next w:val="803"/>
    <w:uiPriority w:val="39"/>
    <w:unhideWhenUsed/>
    <w:pPr>
      <w:pBdr/>
      <w:spacing w:after="100"/>
      <w:ind w:left="660"/>
    </w:pPr>
  </w:style>
  <w:style w:type="paragraph" w:styleId="193">
    <w:name w:val="toc 5"/>
    <w:basedOn w:val="803"/>
    <w:next w:val="803"/>
    <w:uiPriority w:val="39"/>
    <w:unhideWhenUsed/>
    <w:pPr>
      <w:pBdr/>
      <w:spacing w:after="100"/>
      <w:ind w:left="880"/>
    </w:pPr>
  </w:style>
  <w:style w:type="paragraph" w:styleId="194">
    <w:name w:val="toc 6"/>
    <w:basedOn w:val="803"/>
    <w:next w:val="803"/>
    <w:uiPriority w:val="39"/>
    <w:unhideWhenUsed/>
    <w:pPr>
      <w:pBdr/>
      <w:spacing w:after="100"/>
      <w:ind w:left="1100"/>
    </w:pPr>
  </w:style>
  <w:style w:type="paragraph" w:styleId="195">
    <w:name w:val="toc 7"/>
    <w:basedOn w:val="803"/>
    <w:next w:val="803"/>
    <w:uiPriority w:val="39"/>
    <w:unhideWhenUsed/>
    <w:pPr>
      <w:pBdr/>
      <w:spacing w:after="100"/>
      <w:ind w:left="1320"/>
    </w:pPr>
  </w:style>
  <w:style w:type="paragraph" w:styleId="196">
    <w:name w:val="toc 8"/>
    <w:basedOn w:val="803"/>
    <w:next w:val="803"/>
    <w:uiPriority w:val="39"/>
    <w:unhideWhenUsed/>
    <w:pPr>
      <w:pBdr/>
      <w:spacing w:after="100"/>
      <w:ind w:left="1540"/>
    </w:pPr>
  </w:style>
  <w:style w:type="paragraph" w:styleId="197">
    <w:name w:val="toc 9"/>
    <w:basedOn w:val="803"/>
    <w:next w:val="80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3"/>
    <w:next w:val="803"/>
    <w:uiPriority w:val="99"/>
    <w:unhideWhenUsed/>
    <w:pPr>
      <w:pBdr/>
      <w:spacing w:after="0" w:afterAutospacing="0"/>
      <w:ind/>
    </w:pPr>
  </w:style>
  <w:style w:type="paragraph" w:styleId="803" w:default="1">
    <w:name w:val="Normal"/>
    <w:qFormat/>
    <w:pPr>
      <w:widowControl w:val="false"/>
      <w:pBdr/>
      <w:spacing/>
      <w:ind/>
      <w:jc w:val="both"/>
    </w:pPr>
    <w:rPr>
      <w:sz w:val="18"/>
    </w:rPr>
  </w:style>
  <w:style w:type="paragraph" w:styleId="804">
    <w:name w:val="Heading 1"/>
    <w:basedOn w:val="803"/>
    <w:next w:val="816"/>
    <w:qFormat/>
    <w:pPr>
      <w:keepNext w:val="true"/>
      <w:keepLines w:val="true"/>
      <w:pBdr/>
      <w:tabs>
        <w:tab w:val="left" w:leader="none" w:pos="318"/>
      </w:tabs>
      <w:spacing w:after="160" w:before="160"/>
      <w:ind/>
      <w:jc w:val="left"/>
      <w:outlineLvl w:val="0"/>
    </w:pPr>
    <w:rPr>
      <w:rFonts w:eastAsia="黑体"/>
      <w:sz w:val="21"/>
    </w:rPr>
  </w:style>
  <w:style w:type="paragraph" w:styleId="805">
    <w:name w:val="Heading 2"/>
    <w:basedOn w:val="803"/>
    <w:next w:val="816"/>
    <w:qFormat/>
    <w:pPr>
      <w:keepNext w:val="true"/>
      <w:keepLines w:val="true"/>
      <w:pBdr/>
      <w:tabs>
        <w:tab w:val="left" w:leader="none" w:pos="414"/>
      </w:tabs>
      <w:spacing w:after="25" w:before="25"/>
      <w:ind/>
      <w:jc w:val="left"/>
      <w:outlineLvl w:val="1"/>
    </w:pPr>
    <w:rPr>
      <w:rFonts w:eastAsia="黑体"/>
    </w:rPr>
  </w:style>
  <w:style w:type="paragraph" w:styleId="806">
    <w:name w:val="Heading 3"/>
    <w:basedOn w:val="803"/>
    <w:next w:val="816"/>
    <w:qFormat/>
    <w:pPr>
      <w:keepNext w:val="true"/>
      <w:keepLines w:val="true"/>
      <w:pBdr/>
      <w:tabs>
        <w:tab w:val="left" w:leader="none" w:pos="561"/>
      </w:tabs>
      <w:spacing/>
      <w:ind/>
      <w:jc w:val="left"/>
      <w:outlineLvl w:val="2"/>
    </w:pPr>
    <w:rPr>
      <w:sz w:val="20"/>
    </w:rPr>
  </w:style>
  <w:style w:type="paragraph" w:styleId="807">
    <w:name w:val="Heading 4"/>
    <w:basedOn w:val="803"/>
    <w:next w:val="803"/>
    <w:qFormat/>
    <w:pPr>
      <w:keepNext w:val="true"/>
      <w:keepLines w:val="true"/>
      <w:numPr>
        <w:ilvl w:val="3"/>
        <w:numId w:val="1"/>
      </w:numPr>
      <w:pBdr/>
      <w:spacing/>
      <w:ind/>
      <w:jc w:val="left"/>
      <w:outlineLvl w:val="3"/>
    </w:pPr>
    <w:rPr>
      <w:rFonts w:ascii="Arial" w:hAnsi="Arial" w:eastAsia="黑体"/>
    </w:rPr>
  </w:style>
  <w:style w:type="paragraph" w:styleId="808">
    <w:name w:val="Heading 5"/>
    <w:basedOn w:val="803"/>
    <w:next w:val="803"/>
    <w:qFormat/>
    <w:pPr>
      <w:keepNext w:val="true"/>
      <w:keepLines w:val="true"/>
      <w:numPr>
        <w:ilvl w:val="4"/>
        <w:numId w:val="1"/>
      </w:numPr>
      <w:pBdr/>
      <w:spacing w:after="290" w:before="280" w:line="376" w:lineRule="auto"/>
      <w:ind/>
      <w:outlineLvl w:val="4"/>
    </w:pPr>
    <w:rPr>
      <w:b/>
      <w:sz w:val="28"/>
    </w:rPr>
  </w:style>
  <w:style w:type="paragraph" w:styleId="809">
    <w:name w:val="Heading 6"/>
    <w:basedOn w:val="803"/>
    <w:next w:val="803"/>
    <w:qFormat/>
    <w:pPr>
      <w:keepNext w:val="true"/>
      <w:keepLines w:val="true"/>
      <w:numPr>
        <w:ilvl w:val="5"/>
        <w:numId w:val="1"/>
      </w:numPr>
      <w:pBdr/>
      <w:spacing w:after="64" w:before="240"/>
      <w:ind/>
      <w:jc w:val="left"/>
      <w:outlineLvl w:val="5"/>
    </w:pPr>
  </w:style>
  <w:style w:type="paragraph" w:styleId="810">
    <w:name w:val="Heading 7"/>
    <w:basedOn w:val="803"/>
    <w:next w:val="803"/>
    <w:qFormat/>
    <w:pPr>
      <w:keepNext w:val="true"/>
      <w:keepLines w:val="true"/>
      <w:numPr>
        <w:ilvl w:val="6"/>
        <w:numId w:val="1"/>
      </w:numPr>
      <w:pBdr/>
      <w:spacing w:after="64" w:before="240" w:line="320" w:lineRule="auto"/>
      <w:ind/>
      <w:outlineLvl w:val="6"/>
    </w:pPr>
    <w:rPr>
      <w:b/>
      <w:sz w:val="24"/>
    </w:rPr>
  </w:style>
  <w:style w:type="paragraph" w:styleId="811">
    <w:name w:val="Heading 8"/>
    <w:basedOn w:val="803"/>
    <w:next w:val="803"/>
    <w:qFormat/>
    <w:pPr>
      <w:keepNext w:val="true"/>
      <w:keepLines w:val="true"/>
      <w:numPr>
        <w:ilvl w:val="7"/>
        <w:numId w:val="1"/>
      </w:numPr>
      <w:pBdr/>
      <w:spacing w:after="64" w:before="240" w:line="320" w:lineRule="auto"/>
      <w:ind/>
      <w:outlineLvl w:val="7"/>
    </w:pPr>
    <w:rPr>
      <w:rFonts w:ascii="Arial" w:hAnsi="Arial" w:eastAsia="黑体"/>
      <w:sz w:val="24"/>
    </w:rPr>
  </w:style>
  <w:style w:type="paragraph" w:styleId="812">
    <w:name w:val="Heading 9"/>
    <w:basedOn w:val="803"/>
    <w:next w:val="803"/>
    <w:qFormat/>
    <w:pPr>
      <w:keepNext w:val="true"/>
      <w:keepLines w:val="true"/>
      <w:numPr>
        <w:ilvl w:val="8"/>
        <w:numId w:val="1"/>
      </w:numPr>
      <w:pBdr/>
      <w:spacing w:after="64" w:before="240" w:line="320" w:lineRule="auto"/>
      <w:ind/>
      <w:outlineLvl w:val="8"/>
    </w:pPr>
    <w:rPr>
      <w:rFonts w:ascii="Arial" w:hAnsi="Arial" w:eastAsia="黑体"/>
    </w:rPr>
  </w:style>
  <w:style w:type="character" w:styleId="813" w:default="1">
    <w:name w:val="Default Paragraph Font"/>
    <w:uiPriority w:val="1"/>
    <w:semiHidden/>
    <w:unhideWhenUsed/>
    <w:pPr>
      <w:pBdr/>
      <w:spacing/>
      <w:ind/>
    </w:pPr>
  </w:style>
  <w:style w:type="table" w:styleId="8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5" w:default="1">
    <w:name w:val="No List"/>
    <w:uiPriority w:val="99"/>
    <w:semiHidden/>
    <w:unhideWhenUsed/>
    <w:pPr>
      <w:pBdr/>
      <w:spacing/>
      <w:ind/>
    </w:pPr>
  </w:style>
  <w:style w:type="paragraph" w:styleId="816">
    <w:name w:val="Body Text"/>
    <w:basedOn w:val="803"/>
    <w:semiHidden/>
    <w:pPr>
      <w:pBdr/>
      <w:tabs>
        <w:tab w:val="left" w:leader="none" w:pos="357"/>
      </w:tabs>
      <w:spacing/>
      <w:ind w:firstLine="200"/>
    </w:pPr>
  </w:style>
  <w:style w:type="paragraph" w:styleId="817">
    <w:name w:val="Footer"/>
    <w:basedOn w:val="803"/>
    <w:semiHidden/>
    <w:pPr>
      <w:pBdr/>
      <w:tabs>
        <w:tab w:val="center" w:leader="none" w:pos="4153"/>
        <w:tab w:val="right" w:leader="none" w:pos="8306"/>
      </w:tabs>
      <w:spacing w:line="240" w:lineRule="atLeast"/>
      <w:ind/>
      <w:jc w:val="left"/>
    </w:pPr>
    <w:rPr>
      <w:rFonts w:eastAsia="·s²Ó©úÅé"/>
    </w:rPr>
  </w:style>
  <w:style w:type="paragraph" w:styleId="818">
    <w:name w:val="Header"/>
    <w:basedOn w:val="803"/>
    <w:semiHidden/>
    <w:pPr>
      <w:pBdr>
        <w:bottom w:val="single" w:color="000000" w:sz="6" w:space="1"/>
      </w:pBdr>
      <w:spacing/>
      <w:ind/>
      <w:jc w:val="center"/>
    </w:pPr>
  </w:style>
  <w:style w:type="paragraph" w:styleId="819">
    <w:name w:val="Caption"/>
    <w:basedOn w:val="803"/>
    <w:next w:val="803"/>
    <w:qFormat/>
    <w:pPr>
      <w:pBdr/>
      <w:spacing w:after="160" w:before="152"/>
      <w:ind/>
    </w:pPr>
    <w:rPr>
      <w:rFonts w:ascii="Arial" w:hAnsi="Arial" w:eastAsia="黑体"/>
    </w:rPr>
  </w:style>
  <w:style w:type="paragraph" w:styleId="820">
    <w:name w:val="footnote text"/>
    <w:basedOn w:val="803"/>
    <w:next w:val="821"/>
    <w:semiHidden/>
    <w:pPr>
      <w:pBdr/>
      <w:tabs>
        <w:tab w:val="left" w:leader="none" w:pos="465"/>
      </w:tabs>
      <w:spacing w:before="120" w:line="312" w:lineRule="auto"/>
      <w:ind w:firstLine="267"/>
    </w:pPr>
    <w:rPr>
      <w:sz w:val="15"/>
    </w:rPr>
  </w:style>
  <w:style w:type="paragraph" w:styleId="821" w:customStyle="1">
    <w:name w:val="脚注文本1"/>
    <w:basedOn w:val="820"/>
    <w:pPr>
      <w:pBdr/>
      <w:spacing w:before="0"/>
      <w:ind w:firstLine="297"/>
    </w:pPr>
  </w:style>
  <w:style w:type="character" w:styleId="822">
    <w:name w:val="footnote reference"/>
    <w:semiHidden/>
    <w:pPr>
      <w:pBdr/>
      <w:spacing/>
      <w:ind/>
    </w:pPr>
    <w:rPr>
      <w:rFonts w:ascii="Monotype Sorts" w:hAnsi="Monotype Sorts" w:eastAsia="宋体"/>
      <w:spacing w:val="0"/>
      <w:position w:val="0"/>
      <w:sz w:val="11"/>
      <w:vertAlign w:val="baseline"/>
    </w:rPr>
  </w:style>
  <w:style w:type="paragraph" w:styleId="823" w:customStyle="1">
    <w:name w:val="首页页眉"/>
    <w:basedOn w:val="818"/>
    <w:pPr>
      <w:pBdr>
        <w:bottom w:val="single" w:color="000000" w:sz="6" w:space="1"/>
      </w:pBdr>
      <w:spacing/>
      <w:ind/>
      <w:jc w:val="both"/>
    </w:pPr>
  </w:style>
  <w:style w:type="paragraph" w:styleId="824" w:customStyle="1">
    <w:name w:val="Correspond"/>
    <w:basedOn w:val="825"/>
    <w:next w:val="803"/>
    <w:pPr>
      <w:pBdr/>
      <w:spacing/>
      <w:ind/>
    </w:pPr>
  </w:style>
  <w:style w:type="paragraph" w:styleId="825" w:customStyle="1">
    <w:name w:val="Depart.Correspond"/>
    <w:basedOn w:val="826"/>
    <w:pPr>
      <w:pBdr/>
      <w:spacing/>
      <w:ind w:hanging="66" w:left="66"/>
    </w:pPr>
    <w:rPr>
      <w:iCs/>
      <w:sz w:val="16"/>
    </w:rPr>
  </w:style>
  <w:style w:type="paragraph" w:styleId="826" w:customStyle="1">
    <w:name w:val="单位"/>
    <w:pPr>
      <w:pBdr/>
      <w:spacing/>
      <w:ind w:hanging="70" w:left="70"/>
      <w:jc w:val="both"/>
    </w:pPr>
    <w:rPr>
      <w:sz w:val="17"/>
    </w:rPr>
  </w:style>
  <w:style w:type="character" w:styleId="827">
    <w:name w:val="Strong"/>
    <w:qFormat/>
    <w:pPr>
      <w:pBdr/>
      <w:spacing/>
      <w:ind/>
    </w:pPr>
    <w:rPr>
      <w:b/>
      <w:bCs/>
    </w:rPr>
  </w:style>
  <w:style w:type="paragraph" w:styleId="828" w:customStyle="1">
    <w:name w:val="日期1"/>
    <w:basedOn w:val="825"/>
    <w:next w:val="829"/>
    <w:pPr>
      <w:pBdr/>
      <w:spacing w:after="240"/>
      <w:ind/>
    </w:pPr>
    <w:rPr>
      <w:sz w:val="18"/>
    </w:rPr>
  </w:style>
  <w:style w:type="paragraph" w:styleId="829" w:customStyle="1">
    <w:name w:val="Information"/>
    <w:basedOn w:val="828"/>
    <w:next w:val="830"/>
    <w:pPr>
      <w:pBdr/>
      <w:spacing/>
      <w:ind w:firstLine="0" w:left="0"/>
    </w:pPr>
    <w:rPr>
      <w:b/>
      <w:bCs/>
    </w:rPr>
  </w:style>
  <w:style w:type="paragraph" w:styleId="830" w:customStyle="1">
    <w:name w:val="Abstract"/>
    <w:next w:val="831"/>
    <w:pPr>
      <w:pBdr/>
      <w:tabs>
        <w:tab w:val="left" w:leader="none" w:pos="937"/>
      </w:tabs>
      <w:spacing/>
      <w:ind/>
      <w:jc w:val="both"/>
    </w:pPr>
    <w:rPr>
      <w:rFonts w:eastAsia="楷体_GB2312"/>
      <w:sz w:val="18"/>
    </w:rPr>
  </w:style>
  <w:style w:type="paragraph" w:styleId="831" w:customStyle="1">
    <w:name w:val="Key words"/>
    <w:basedOn w:val="803"/>
    <w:next w:val="832"/>
    <w:pPr>
      <w:pBdr/>
      <w:tabs>
        <w:tab w:val="left" w:leader="none" w:pos="1176"/>
      </w:tabs>
      <w:spacing w:after="290"/>
      <w:ind w:hanging="632" w:left="632"/>
    </w:pPr>
    <w:rPr>
      <w:rFonts w:eastAsia="楷体_GB2312"/>
    </w:rPr>
  </w:style>
  <w:style w:type="paragraph" w:styleId="832" w:customStyle="1">
    <w:name w:val="摘要"/>
    <w:basedOn w:val="816"/>
    <w:next w:val="833"/>
    <w:pPr>
      <w:pBdr/>
      <w:tabs>
        <w:tab w:val="clear" w:leader="none" w:pos="357"/>
        <w:tab w:val="left" w:leader="none" w:pos="798"/>
      </w:tabs>
      <w:spacing/>
      <w:ind w:firstLine="0"/>
    </w:pPr>
    <w:rPr>
      <w:rFonts w:eastAsia="楷体_GB2312"/>
    </w:rPr>
  </w:style>
  <w:style w:type="paragraph" w:styleId="833" w:customStyle="1">
    <w:name w:val="关键词"/>
    <w:basedOn w:val="832"/>
    <w:next w:val="834"/>
    <w:pPr>
      <w:pBdr/>
      <w:spacing/>
      <w:ind w:hanging="429" w:left="429"/>
    </w:pPr>
  </w:style>
  <w:style w:type="paragraph" w:styleId="834" w:customStyle="1">
    <w:name w:val="分类号"/>
    <w:basedOn w:val="828"/>
    <w:next w:val="816"/>
    <w:pPr>
      <w:pBdr/>
      <w:tabs>
        <w:tab w:val="left" w:leader="none" w:pos="1233"/>
      </w:tabs>
      <w:spacing w:after="320"/>
      <w:ind w:firstLine="0" w:left="0"/>
    </w:pPr>
    <w:rPr>
      <w:rFonts w:eastAsia="黑体"/>
    </w:rPr>
  </w:style>
  <w:style w:type="paragraph" w:styleId="835" w:customStyle="1">
    <w:name w:val="标题1"/>
    <w:basedOn w:val="803"/>
    <w:next w:val="836"/>
    <w:pPr>
      <w:keepNext w:val="true"/>
      <w:keepLines w:val="true"/>
      <w:pBdr/>
      <w:spacing w:after="100" w:before="240"/>
      <w:ind/>
      <w:outlineLvl w:val="0"/>
    </w:pPr>
    <w:rPr>
      <w:rFonts w:eastAsia="黑体"/>
      <w:b/>
      <w:sz w:val="24"/>
    </w:rPr>
  </w:style>
  <w:style w:type="paragraph" w:styleId="836" w:customStyle="1">
    <w:name w:val="Name"/>
    <w:basedOn w:val="837"/>
    <w:next w:val="825"/>
    <w:pPr>
      <w:keepNext w:val="true"/>
      <w:pBdr/>
      <w:spacing w:after="180" w:before="220"/>
      <w:ind/>
    </w:pPr>
    <w:rPr>
      <w:rFonts w:eastAsia="宋体"/>
      <w:sz w:val="18"/>
    </w:rPr>
  </w:style>
  <w:style w:type="paragraph" w:styleId="837" w:customStyle="1">
    <w:name w:val="作者"/>
    <w:basedOn w:val="803"/>
    <w:next w:val="826"/>
    <w:pPr>
      <w:pBdr/>
      <w:spacing w:after="240" w:before="160" w:line="0" w:lineRule="atLeast"/>
      <w:ind/>
      <w:jc w:val="left"/>
    </w:pPr>
    <w:rPr>
      <w:rFonts w:eastAsia="仿宋_GB2312"/>
      <w:sz w:val="28"/>
    </w:rPr>
  </w:style>
  <w:style w:type="paragraph" w:styleId="838" w:customStyle="1">
    <w:name w:val="文前文本"/>
    <w:basedOn w:val="833"/>
    <w:pPr>
      <w:pBdr/>
      <w:spacing/>
      <w:ind w:firstLine="0" w:left="0"/>
    </w:pPr>
    <w:rPr>
      <w:b/>
    </w:rPr>
  </w:style>
  <w:style w:type="paragraph" w:styleId="839" w:customStyle="1">
    <w:name w:val="定理"/>
    <w:basedOn w:val="816"/>
    <w:next w:val="816"/>
    <w:pPr>
      <w:pBdr/>
      <w:spacing/>
      <w:ind/>
    </w:pPr>
    <w:rPr>
      <w:rFonts w:eastAsia="黑体"/>
    </w:rPr>
  </w:style>
  <w:style w:type="paragraph" w:styleId="840">
    <w:name w:val="Subtitle"/>
    <w:basedOn w:val="803"/>
    <w:next w:val="837"/>
    <w:qFormat/>
    <w:pPr>
      <w:pBdr/>
      <w:spacing w:before="320"/>
      <w:ind/>
      <w:outlineLvl w:val="0"/>
    </w:pPr>
    <w:rPr>
      <w:rFonts w:eastAsia="黑体"/>
      <w:sz w:val="36"/>
    </w:rPr>
  </w:style>
  <w:style w:type="paragraph" w:styleId="841" w:customStyle="1">
    <w:name w:val="表名"/>
    <w:basedOn w:val="803"/>
    <w:pPr>
      <w:pBdr/>
      <w:spacing w:after="120"/>
      <w:ind/>
    </w:pPr>
  </w:style>
  <w:style w:type="character" w:styleId="842">
    <w:name w:val="endnote reference"/>
    <w:semiHidden/>
    <w:pPr>
      <w:pBdr/>
      <w:spacing/>
      <w:ind/>
    </w:pPr>
    <w:rPr>
      <w:vertAlign w:val="superscript"/>
    </w:rPr>
  </w:style>
  <w:style w:type="paragraph" w:styleId="843" w:customStyle="1">
    <w:name w:val="Reference"/>
    <w:basedOn w:val="803"/>
    <w:next w:val="844"/>
    <w:pPr>
      <w:pBdr/>
      <w:spacing w:before="280"/>
      <w:ind/>
      <w:jc w:val="left"/>
      <w:outlineLvl w:val="0"/>
    </w:pPr>
    <w:rPr>
      <w:rFonts w:eastAsia="黑体"/>
      <w:b/>
    </w:rPr>
  </w:style>
  <w:style w:type="paragraph" w:styleId="844" w:customStyle="1">
    <w:name w:val="Text of Reference"/>
    <w:pPr>
      <w:pBdr/>
      <w:spacing w:line="260" w:lineRule="exact"/>
      <w:ind/>
      <w:jc w:val="both"/>
    </w:pPr>
    <w:rPr>
      <w:sz w:val="15"/>
    </w:rPr>
  </w:style>
  <w:style w:type="paragraph" w:styleId="845" w:customStyle="1">
    <w:name w:val="证明"/>
    <w:basedOn w:val="839"/>
    <w:pPr>
      <w:pBdr/>
      <w:spacing/>
      <w:ind/>
    </w:pPr>
    <w:rPr>
      <w:rFonts w:eastAsia="仿宋_GB2312"/>
    </w:rPr>
  </w:style>
  <w:style w:type="paragraph" w:styleId="846" w:customStyle="1">
    <w:name w:val="Text of Reference 1"/>
    <w:pPr>
      <w:numPr>
        <w:numId w:val="3"/>
      </w:numPr>
      <w:pBdr/>
      <w:spacing w:line="260" w:lineRule="exact"/>
      <w:ind/>
      <w:jc w:val="both"/>
    </w:pPr>
    <w:rPr>
      <w:sz w:val="15"/>
    </w:rPr>
  </w:style>
  <w:style w:type="paragraph" w:styleId="847" w:customStyle="1">
    <w:name w:val="中文参考文献"/>
    <w:basedOn w:val="843"/>
    <w:next w:val="816"/>
    <w:pPr>
      <w:pBdr/>
      <w:spacing w:before="240"/>
      <w:ind/>
    </w:pPr>
    <w:rPr>
      <w:b w:val="0"/>
    </w:rPr>
  </w:style>
  <w:style w:type="paragraph" w:styleId="848" w:customStyle="1">
    <w:name w:val="致谢"/>
    <w:basedOn w:val="839"/>
    <w:next w:val="843"/>
    <w:pPr>
      <w:pBdr/>
      <w:tabs>
        <w:tab w:val="clear" w:leader="none" w:pos="357"/>
      </w:tabs>
      <w:spacing w:before="100"/>
      <w:ind w:firstLine="0"/>
    </w:pPr>
    <w:rPr>
      <w:rFonts w:eastAsia="宋体"/>
      <w:bCs/>
    </w:rPr>
  </w:style>
  <w:style w:type="paragraph" w:styleId="849" w:customStyle="1">
    <w:name w:val="Text of 中文参考文献"/>
    <w:basedOn w:val="844"/>
    <w:pPr>
      <w:numPr>
        <w:numId w:val="0"/>
      </w:numPr>
      <w:pBdr/>
      <w:tabs>
        <w:tab w:val="left" w:leader="none" w:pos="346"/>
      </w:tabs>
      <w:spacing/>
      <w:ind w:hanging="258" w:left="258"/>
    </w:pPr>
  </w:style>
  <w:style w:type="paragraph" w:styleId="850" w:customStyle="1">
    <w:name w:val="Text of 中文参考文献１"/>
    <w:basedOn w:val="849"/>
    <w:pPr>
      <w:pBdr/>
      <w:tabs>
        <w:tab w:val="left" w:leader="none" w:pos="78"/>
        <w:tab w:val="clear" w:leader="none" w:pos="346"/>
        <w:tab w:val="left" w:leader="none" w:pos="424"/>
      </w:tabs>
      <w:spacing/>
      <w:ind/>
    </w:pPr>
  </w:style>
  <w:style w:type="character" w:styleId="851">
    <w:name w:val="annotation reference"/>
    <w:semiHidden/>
    <w:pPr>
      <w:pBdr/>
      <w:spacing/>
      <w:ind/>
    </w:pPr>
    <w:rPr>
      <w:sz w:val="21"/>
      <w:szCs w:val="21"/>
    </w:rPr>
  </w:style>
  <w:style w:type="paragraph" w:styleId="852">
    <w:name w:val="annotation text"/>
    <w:basedOn w:val="803"/>
    <w:semiHidden/>
    <w:pPr>
      <w:pBdr/>
      <w:spacing/>
      <w:ind/>
      <w:jc w:val="left"/>
    </w:pPr>
  </w:style>
  <w:style w:type="paragraph" w:styleId="853">
    <w:name w:val="Normal (Web)"/>
    <w:basedOn w:val="803"/>
    <w:uiPriority w:val="99"/>
    <w:unhideWhenUsed/>
    <w:pPr>
      <w:widowControl w:val="true"/>
      <w:pBdr/>
      <w:spacing w:after="100" w:afterAutospacing="1" w:before="100" w:beforeAutospacing="1"/>
      <w:ind/>
      <w:jc w:val="left"/>
    </w:pPr>
    <w:rPr>
      <w:rFonts w:ascii="宋体" w:hAnsi="宋体" w:cs="宋体"/>
      <w:sz w:val="24"/>
      <w:szCs w:val="24"/>
    </w:rPr>
  </w:style>
  <w:style w:type="paragraph" w:styleId="854" w:customStyle="1">
    <w:name w:val="Source Code"/>
    <w:pPr>
      <w:pBdr/>
      <w:spacing/>
      <w:ind/>
    </w:pPr>
  </w:style>
  <w:style w:type="character" w:styleId="855" w:customStyle="1">
    <w:name w:val="KeywordTok"/>
    <w:pPr>
      <w:pBdr/>
      <w:spacing/>
      <w:ind/>
    </w:pPr>
    <w:rPr>
      <w:b/>
      <w:color w:val="007020"/>
    </w:rPr>
  </w:style>
  <w:style w:type="character" w:styleId="856" w:customStyle="1">
    <w:name w:val="DataTypeTok"/>
    <w:pPr>
      <w:pBdr/>
      <w:spacing/>
      <w:ind/>
    </w:pPr>
    <w:rPr>
      <w:color w:val="902000"/>
    </w:rPr>
  </w:style>
  <w:style w:type="character" w:styleId="857" w:customStyle="1">
    <w:name w:val="DecValTok"/>
    <w:pPr>
      <w:pBdr/>
      <w:spacing/>
      <w:ind/>
    </w:pPr>
    <w:rPr>
      <w:color w:val="40a070"/>
    </w:rPr>
  </w:style>
  <w:style w:type="character" w:styleId="858" w:customStyle="1">
    <w:name w:val="BaseNTok"/>
    <w:pPr>
      <w:pBdr/>
      <w:spacing/>
      <w:ind/>
    </w:pPr>
    <w:rPr>
      <w:color w:val="40a070"/>
    </w:rPr>
  </w:style>
  <w:style w:type="character" w:styleId="859" w:customStyle="1">
    <w:name w:val="FloatTok"/>
    <w:pPr>
      <w:pBdr/>
      <w:spacing/>
      <w:ind/>
    </w:pPr>
    <w:rPr>
      <w:color w:val="40a070"/>
    </w:rPr>
  </w:style>
  <w:style w:type="character" w:styleId="860" w:customStyle="1">
    <w:name w:val="ConstantTok"/>
    <w:pPr>
      <w:pBdr/>
      <w:spacing/>
      <w:ind/>
    </w:pPr>
    <w:rPr>
      <w:color w:val="880000"/>
    </w:rPr>
  </w:style>
  <w:style w:type="character" w:styleId="861" w:customStyle="1">
    <w:name w:val="CharTok"/>
    <w:pPr>
      <w:pBdr/>
      <w:spacing/>
      <w:ind/>
    </w:pPr>
    <w:rPr>
      <w:color w:val="4070a0"/>
    </w:rPr>
  </w:style>
  <w:style w:type="character" w:styleId="862" w:customStyle="1">
    <w:name w:val="SpecialCharTok"/>
    <w:pPr>
      <w:pBdr/>
      <w:spacing/>
      <w:ind/>
    </w:pPr>
    <w:rPr>
      <w:color w:val="4070a0"/>
    </w:rPr>
  </w:style>
  <w:style w:type="character" w:styleId="863" w:customStyle="1">
    <w:name w:val="StringTok"/>
    <w:pPr>
      <w:pBdr/>
      <w:spacing/>
      <w:ind/>
    </w:pPr>
    <w:rPr>
      <w:color w:val="4070a0"/>
    </w:rPr>
  </w:style>
  <w:style w:type="character" w:styleId="864" w:customStyle="1">
    <w:name w:val="VerbatimStringTok"/>
    <w:pPr>
      <w:pBdr/>
      <w:spacing/>
      <w:ind/>
    </w:pPr>
    <w:rPr>
      <w:color w:val="4070a0"/>
    </w:rPr>
  </w:style>
  <w:style w:type="character" w:styleId="865" w:customStyle="1">
    <w:name w:val="SpecialStringTok"/>
    <w:pPr>
      <w:pBdr/>
      <w:spacing/>
      <w:ind/>
    </w:pPr>
    <w:rPr>
      <w:color w:val="bb6688"/>
    </w:rPr>
  </w:style>
  <w:style w:type="character" w:styleId="866" w:customStyle="1">
    <w:name w:val="ImportTok"/>
    <w:pPr>
      <w:pBdr/>
      <w:spacing/>
      <w:ind/>
    </w:pPr>
    <w:rPr>
      <w:b/>
      <w:color w:val="008000"/>
    </w:rPr>
  </w:style>
  <w:style w:type="character" w:styleId="867" w:customStyle="1">
    <w:name w:val="CommentTok"/>
    <w:pPr>
      <w:pBdr/>
      <w:spacing/>
      <w:ind/>
    </w:pPr>
    <w:rPr>
      <w:i/>
      <w:color w:val="60a0b0"/>
    </w:rPr>
  </w:style>
  <w:style w:type="character" w:styleId="868" w:customStyle="1">
    <w:name w:val="DocumentationTok"/>
    <w:pPr>
      <w:pBdr/>
      <w:spacing/>
      <w:ind/>
    </w:pPr>
    <w:rPr>
      <w:i/>
      <w:color w:val="ba2121"/>
    </w:rPr>
  </w:style>
  <w:style w:type="character" w:styleId="869" w:customStyle="1">
    <w:name w:val="AnnotationTok"/>
    <w:pPr>
      <w:pBdr/>
      <w:spacing/>
      <w:ind/>
    </w:pPr>
    <w:rPr>
      <w:b/>
      <w:i/>
      <w:color w:val="60a0b0"/>
    </w:rPr>
  </w:style>
  <w:style w:type="character" w:styleId="870" w:customStyle="1">
    <w:name w:val="CommentVarTok"/>
    <w:pPr>
      <w:pBdr/>
      <w:spacing/>
      <w:ind/>
    </w:pPr>
    <w:rPr>
      <w:b/>
      <w:i/>
      <w:color w:val="60a0b0"/>
    </w:rPr>
  </w:style>
  <w:style w:type="character" w:styleId="871" w:customStyle="1">
    <w:name w:val="OtherTok"/>
    <w:pPr>
      <w:pBdr/>
      <w:spacing/>
      <w:ind/>
    </w:pPr>
    <w:rPr>
      <w:color w:val="007020"/>
    </w:rPr>
  </w:style>
  <w:style w:type="character" w:styleId="872" w:customStyle="1">
    <w:name w:val="FunctionTok"/>
    <w:pPr>
      <w:pBdr/>
      <w:spacing/>
      <w:ind/>
    </w:pPr>
    <w:rPr>
      <w:color w:val="06287e"/>
    </w:rPr>
  </w:style>
  <w:style w:type="character" w:styleId="873" w:customStyle="1">
    <w:name w:val="VariableTok"/>
    <w:pPr>
      <w:pBdr/>
      <w:spacing/>
      <w:ind/>
    </w:pPr>
    <w:rPr>
      <w:color w:val="19177c"/>
    </w:rPr>
  </w:style>
  <w:style w:type="character" w:styleId="874" w:customStyle="1">
    <w:name w:val="ControlFlowTok"/>
    <w:pPr>
      <w:pBdr/>
      <w:spacing/>
      <w:ind/>
    </w:pPr>
    <w:rPr>
      <w:b/>
      <w:color w:val="007020"/>
    </w:rPr>
  </w:style>
  <w:style w:type="character" w:styleId="875" w:customStyle="1">
    <w:name w:val="OperatorTok"/>
    <w:pPr>
      <w:pBdr/>
      <w:spacing/>
      <w:ind/>
    </w:pPr>
    <w:rPr>
      <w:color w:val="666666"/>
    </w:rPr>
  </w:style>
  <w:style w:type="character" w:styleId="876" w:customStyle="1">
    <w:name w:val="BuiltInTok"/>
    <w:pPr>
      <w:pBdr/>
      <w:spacing/>
      <w:ind/>
    </w:pPr>
    <w:rPr>
      <w:color w:val="008000"/>
    </w:rPr>
  </w:style>
  <w:style w:type="character" w:styleId="877" w:customStyle="1">
    <w:name w:val="ExtensionTok"/>
    <w:pPr>
      <w:pBdr/>
      <w:spacing/>
      <w:ind/>
    </w:pPr>
  </w:style>
  <w:style w:type="character" w:styleId="878" w:customStyle="1">
    <w:name w:val="PreprocessorTok"/>
    <w:pPr>
      <w:pBdr/>
      <w:spacing/>
      <w:ind/>
    </w:pPr>
    <w:rPr>
      <w:color w:val="bc7a00"/>
    </w:rPr>
  </w:style>
  <w:style w:type="character" w:styleId="879" w:customStyle="1">
    <w:name w:val="AttributeTok"/>
    <w:pPr>
      <w:pBdr/>
      <w:spacing/>
      <w:ind/>
    </w:pPr>
    <w:rPr>
      <w:color w:val="7d9029"/>
    </w:rPr>
  </w:style>
  <w:style w:type="character" w:styleId="880" w:customStyle="1">
    <w:name w:val="RegionMarkerTok"/>
    <w:pPr>
      <w:pBdr/>
      <w:spacing/>
      <w:ind/>
    </w:pPr>
  </w:style>
  <w:style w:type="character" w:styleId="881" w:customStyle="1">
    <w:name w:val="InformationTok"/>
    <w:pPr>
      <w:pBdr/>
      <w:spacing/>
      <w:ind/>
    </w:pPr>
    <w:rPr>
      <w:b/>
      <w:i/>
      <w:color w:val="60a0b0"/>
    </w:rPr>
  </w:style>
  <w:style w:type="character" w:styleId="882" w:customStyle="1">
    <w:name w:val="WarningTok"/>
    <w:pPr>
      <w:pBdr/>
      <w:spacing/>
      <w:ind/>
    </w:pPr>
    <w:rPr>
      <w:b/>
      <w:i/>
      <w:color w:val="60a0b0"/>
    </w:rPr>
  </w:style>
  <w:style w:type="character" w:styleId="883" w:customStyle="1">
    <w:name w:val="AlertTok"/>
    <w:pPr>
      <w:pBdr/>
      <w:spacing/>
      <w:ind/>
    </w:pPr>
    <w:rPr>
      <w:b/>
      <w:color w:val="ff0000"/>
    </w:rPr>
  </w:style>
  <w:style w:type="character" w:styleId="884" w:customStyle="1">
    <w:name w:val="ErrorTok"/>
    <w:pPr>
      <w:pBdr/>
      <w:spacing/>
      <w:ind/>
    </w:pPr>
    <w:rPr>
      <w:b/>
      <w:color w:val="ff0000"/>
    </w:rPr>
  </w:style>
  <w:style w:type="character" w:styleId="885" w:customStyle="1">
    <w:name w:val="NormalTok"/>
    <w:pPr>
      <w:pBdr/>
      <w:spacing/>
      <w:ind/>
    </w:pPr>
  </w:style>
  <w:style w:type="paragraph" w:styleId="886">
    <w:name w:val="Compact"/>
    <w:basedOn w:val="803"/>
    <w:pPr>
      <w:pBdr/>
      <w:spacing w:after="0" w:before="0" w:line="240" w:lineRule="auto"/>
      <w:ind w:firstLine="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JOS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2026-05-30T09:06:37Z</dcterms:created>
  <dcterms:modified xsi:type="dcterms:W3CDTF">2026-05-30T11:19:03Z</dcterms:modified>
</cp:coreProperties>
</file>