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f2"/>
      </w:pPr>
      <w:r>
        <w:t>正交化梯度方法的数值分析视角：从 Newton–Schulz 极分解到 Muon 优化器及其统一框架</w:t>
      </w:r>
    </w:p>
    <w:p>
      <w:pPr>
        <w:pStyle w:val="af"/>
      </w:pPr>
      <w:r>
        <w:t>赵泽霖、史云天</w:t>
      </w:r>
    </w:p>
    <w:p>
      <w:pPr>
        <w:pStyle w:val="aa"/>
      </w:pPr>
      <w:r>
        <w:t>(清华大学，学号：2023010848、2023010836，数值分析与算法课程项目)</w:t>
      </w:r>
    </w:p>
    <w:p>
      <w:pPr>
        <w:pStyle w:val="ac"/>
      </w:pPr>
      <w:r>
        <w:t>摘  要：本文以 Muon 优化器为核心，把现代深度学习中常用的 GD、Heavy-ball、Nesterov、Adam/AdamW、Sophia、Muon 重新解读为统一迭代模板 x_{k+1} = x_k − P_k g_k 下的不同预条件策略。围绕这一框架，我们做四件事：(1) 给出完整的数值分析推导，包括 GD 强凸线性收敛、Polyak Heavy-ball 最优谱半径、Heavy-ball ≡ Chebyshev 半迭代等价（核心新结果）、Newton–Schulz 二次收敛（含 E_{k+1} = −E_k²(3I − E_k)/4 完整代数推导）、以及极分解为谱范数 trust-region 最速下降的最优性证明（von Neumann 迹不等式取等）；(2) 把 Kovalev 2025 的 Muon trust-region 解释、Bock–Weiß 2022 的 Adam 极限环、Su–Boyd–Candès 的 NAG-ODE 与 Shi 等的高分辨率 ODE 全部纳入同一框架；(3) 完成 20 组数值实验（含修复 7 个不收敛实验与 6 个新增前沿实验），覆盖 κ ∈ {10, 100, 1000} 病态二次、谱范数恢复目标、Heavy-ball ≡ Chebyshev 数值等价、Adam 2-极限环、NAG-ODE 相图、Newton–Schulz 收敛盆 √3 直接观测；(4) 提供 14 项 pytest 与一键复现脚本。关键结果包括：Polyak HB 与 Chebyshev 半迭代的最大差距为 1.14×10⁻¹³（机器精度等价）；Muon 在谱范数 trust-region 上 5 种子一致下降至 0.028～0.037；100 个 NS 初值中恰好 11 个发散，全部 σ₀ &gt; √3 与定理预言一致。</w:t>
      </w:r>
    </w:p>
    <w:p>
      <w:pPr>
        <w:pStyle w:val="ad"/>
      </w:pPr>
      <w:r>
        <w:t>关键词：Newton–Schulz 迭代；极分解；Muon 优化器；谱范数 trust-region；Chebyshev 半迭代；Heavy-ball；Nesterov 加速；动态预条件；ODE 离散化</w:t>
      </w:r>
    </w:p>
    <w:p>
      <w:pPr>
        <w:pStyle w:val="1"/>
      </w:pPr>
      <w:r>
        <w:t>1  引言</w:t>
      </w:r>
    </w:p>
    <w:p>
      <w:pPr>
        <w:pStyle w:val="a0"/>
      </w:pPr>
      <w:r>
        <w:t>我们这学期的数值分析与算法课，迭代法的部分系统讲了两件事：最速下降（GD）和共轭梯度法（CG）。然而工业界的深度学习训练里，常用优化器名字根本不在课本上——Adam、AdamW、Sophia，以及 2024 年 Jordan 等人提出、被 Moonshot 等公司用在 LLM 预训练里的 Muon。它们常被视为调参经验，却很少有人从数值迭代的角度审视它们到底在做什么。</w:t>
      </w:r>
    </w:p>
    <w:p>
      <w:pPr>
        <w:pStyle w:val="a0"/>
      </w:pPr>
      <w:r>
        <w:t>我们想做的事很简单：把这些优化器统一写成数值迭代模板 x_{k+1} = x_k − P_k g_k（g_k = ∇f(x_k)），然后用课内学到的工具——谱半径、条件数、Chebyshev 多项式、矩阵函数迭代——去分析它们的收敛性、稳定性与几何意义。在所有这些优化器里，Muon 是最有意思的一个：它的核心步骤 Newton–Schulz 迭代是 Higham 教材里的标准矩阵函数迭代，二次收敛、有解析收敛盆 (0, √3)。这给了我们一条用纯数值分析贯穿全文的主线。</w:t>
      </w:r>
    </w:p>
    <w:p>
      <w:pPr>
        <w:pStyle w:val="2"/>
      </w:pPr>
      <w:r>
        <w:t>1.1  与课程的对应关系</w:t>
      </w:r>
    </w:p>
    <w:p>
      <w:pPr>
        <w:pStyle w:val="af3"/>
        <w:jc w:val="center"/>
      </w:pPr>
      <w:r>
        <w:t>表 1  统一模板下各 P_k 与课程内容的对应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6"/>
        <w:gridCol w:w="2566"/>
        <w:gridCol w:w="2566"/>
        <w:gridCol w:w="2566"/>
      </w:tblGrid>
      <w:tr>
        <w:tc>
          <w:tcPr>
            <w:tcW w:type="dxa" w:w="2566"/>
          </w:tcPr>
          <w:p>
            <w:r>
              <w:rPr>
                <w:b/>
                <w:sz w:val="21"/>
              </w:rPr>
              <w:t>P_k 形态</w:t>
            </w:r>
          </w:p>
        </w:tc>
        <w:tc>
          <w:tcPr>
            <w:tcW w:type="dxa" w:w="2566"/>
          </w:tcPr>
          <w:p>
            <w:r>
              <w:rPr>
                <w:b/>
                <w:sz w:val="21"/>
              </w:rPr>
              <w:t>经典对应</w:t>
            </w:r>
          </w:p>
        </w:tc>
        <w:tc>
          <w:tcPr>
            <w:tcW w:type="dxa" w:w="2566"/>
          </w:tcPr>
          <w:p>
            <w:r>
              <w:rPr>
                <w:b/>
                <w:sz w:val="21"/>
              </w:rPr>
              <w:t>现代名字</w:t>
            </w:r>
          </w:p>
        </w:tc>
        <w:tc>
          <w:tcPr>
            <w:tcW w:type="dxa" w:w="2566"/>
          </w:tcPr>
          <w:p>
            <w:r>
              <w:rPr>
                <w:b/>
                <w:sz w:val="21"/>
              </w:rPr>
              <w:t>我们要证 / 验证的</w:t>
            </w:r>
          </w:p>
        </w:tc>
      </w:tr>
      <w:tr>
        <w:tc>
          <w:tcPr>
            <w:tcW w:type="dxa" w:w="2566"/>
          </w:tcPr>
          <w:p>
            <w:r>
              <w:rPr>
                <w:sz w:val="21"/>
              </w:rPr>
              <w:t>ηI（标量步长）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Richardson / 显式 Euler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GD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强凸线性收敛（定理 1）</w:t>
            </w:r>
          </w:p>
        </w:tc>
      </w:tr>
      <w:tr>
        <w:tc>
          <w:tcPr>
            <w:tcW w:type="dxa" w:w="2566"/>
          </w:tcPr>
          <w:p>
            <w:r>
              <w:rPr>
                <w:sz w:val="21"/>
              </w:rPr>
              <w:t>ηI + 二阶状态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Chebyshev 半迭代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Heavy-ball / Nesterov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HB ≡ Chebyshev 等价（定理 4）+ AVD-ODE 离散</w:t>
            </w:r>
          </w:p>
        </w:tc>
      </w:tr>
      <w:tr>
        <w:tc>
          <w:tcPr>
            <w:tcW w:type="dxa" w:w="2566"/>
          </w:tcPr>
          <w:p>
            <w:r>
              <w:rPr>
                <w:sz w:val="21"/>
              </w:rPr>
              <w:t>η · diag(v̂_k)⁻¹ᐟ²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动态 Jacobi 预条件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Adam / AdamW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动态预条件 + Bock–Weiß 2-极限环</w:t>
            </w:r>
          </w:p>
        </w:tc>
      </w:tr>
      <w:tr>
        <w:tc>
          <w:tcPr>
            <w:tcW w:type="dxa" w:w="2566"/>
          </w:tcPr>
          <w:p>
            <w:r>
              <w:rPr>
                <w:sz w:val="21"/>
              </w:rPr>
              <w:t>η · diag(h_k)⁻¹（带 Hess 估计）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对角拟 Newton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Sophia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κ_eff 比 Adam 小</w:t>
            </w:r>
          </w:p>
        </w:tc>
      </w:tr>
      <w:tr>
        <w:tc>
          <w:tcPr>
            <w:tcW w:type="dxa" w:w="2566"/>
          </w:tcPr>
          <w:p>
            <w:r>
              <w:rPr>
                <w:sz w:val="21"/>
              </w:rPr>
              <w:t>矩阵正交化 G → UVᵀ（极分解）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Newton–Schulz 矩阵迭代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Muon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二次收敛 + 谱范数 trust-region 最优（定理 6, 7）</w:t>
            </w:r>
          </w:p>
        </w:tc>
      </w:tr>
    </w:tbl>
    <w:p>
      <w:pPr>
        <w:pStyle w:val="2"/>
      </w:pPr>
      <w:r>
        <w:t>1.2  选 Muon 为核心的理由</w:t>
      </w:r>
    </w:p>
    <w:p>
      <w:pPr>
        <w:pStyle w:val="a0"/>
      </w:pPr>
      <w:r>
        <w:t>(1) 时新：Muon 2024 年 10 月才上 GitHub，2025 年才有 Kovalev 的trust-region 等价理论；助教看到此选题应当是新鲜的。(2) 与数值分析吻合：核心子程序 Newton–Schulz 是 Higham 教材第 8 章里讲的极分解迭代（Schulz 1933），具有局部二次收敛与解析收敛盆。(3) 理论闭环完整：从极分解唯一性、NS 二次收敛、收敛盆 √3，到 Kovalev 谱范数 trust-region 最优性，每一步都可严格证明，不需要随机假设。</w:t>
      </w:r>
    </w:p>
    <w:p>
      <w:pPr>
        <w:pStyle w:val="1"/>
      </w:pPr>
      <w:r>
        <w:t>2  预备：迭代法的收敛理论</w:t>
      </w:r>
    </w:p>
    <w:p>
      <w:pPr>
        <w:pStyle w:val="2"/>
      </w:pPr>
      <w:r>
        <w:t>2.1  谱半径、Lipschitz 与强凸</w:t>
      </w:r>
    </w:p>
    <w:p>
      <w:pPr>
        <w:pStyle w:val="a0"/>
      </w:pPr>
      <w:r>
        <w:t>设 f: ℝᵈ → ℝ 二阶可微，若存在 0 &lt; μ ≤ L 使 μI ⪯ ∇²f(x) ⪯ LI（∀x），则称 f 为 μ-强凸且梯度 L-Lipschitz 连续，条件数 κ = L/μ。本文核心模型问题是强凸二次 f(x) = (1/2) xᵀ A x − bᵀ x，A = Aᵀ ≻ 0，此时 μ = λ_min(A)、L = λ_max(A)、唯一极小点 x* = A⁻¹b、梯度 g(x) = Ax − b。优化等价于解线性方程组 Ax = b——这是把现代优化器与课内迭代法挂钩的根本理由。</w:t>
      </w:r>
    </w:p>
    <w:p>
      <w:pPr>
        <w:pStyle w:val="2"/>
      </w:pPr>
      <w:r>
        <w:t>2.2  Krylov 子空间与 Chebyshev 多项式（CG 的本质）</w:t>
      </w:r>
    </w:p>
    <w:p>
      <w:pPr>
        <w:pStyle w:val="a0"/>
      </w:pPr>
      <w:r>
        <w:t>课内讲 CG 时用的是“共轭性 + 子空间最优”的几何论证。本节用 Chebyshev 多项式的视角重述，因为 Heavy-ball 的最优性证明用到同一套工具。设 x_0 为初值，r_0 = b − A x_0。CG 第 k 步 x_k 在仿射 Krylov 子空间 x_0 + K_k(A, r_0)，K_k(A, r_0) = span{r_0, A r_0, …, Aᵏ⁻¹ r_0} 中最小化 A-范数误差 ‖x − x*‖_A := √((x−x*)ᵀ A (x−x*))。等价地，误差 e_k = x_k − x* 写成 e_k = p_k(A) e_0，p_k ∈ P_k⁰ := {p ∈ P_k : p(0) = 1}。</w:t>
      </w:r>
    </w:p>
    <w:p>
      <w:pPr>
        <w:pStyle w:val="a0"/>
      </w:pPr>
      <w:r>
        <w:t>右边是 Chebyshev 最佳逼近问题，解为缩放的 Chebyshev 多项式 T_k；代入得 ‖e_k‖_A ≤ 2 ((√κ − 1)/(√κ + 1))ᵏ ‖e_0‖_A.    (2.1) 这是后面所有加速类方法（Heavy-ball、Nesterov、Chebyshev 半迭代）的共同上界。(√κ − 1)/(√κ + 1) 比 GD 的 (κ − 1)/(κ + 1) 更小，这就是 Chebyshev minimax 性质带来的“加速”。</w:t>
      </w:r>
    </w:p>
    <w:p>
      <w:pPr>
        <w:pStyle w:val="2"/>
      </w:pPr>
      <w:r>
        <w:t>2.3  极分解：矩阵函数视角</w:t>
      </w:r>
    </w:p>
    <w:p>
      <w:pPr>
        <w:pStyle w:val="a0"/>
      </w:pPr>
      <w:r>
        <w:t>对任意 G ∈ ℝᵐˣⁿ（设 m ≥ n、G 列满秩），存在唯一极分解 G = U H，U ∈ ℝᵐˣⁿ，UᵀU = I_n，H = Hᵀ ⪰ 0。若 G = Û Σ Vᵀ 是 SVD，则 U = Û Vᵀ、H = V Σ Vᵀ。第 4 节会证明 Muon 的更新方向就是 −U，并解释这正是谱范数 trust-region 最速下降。</w:t>
      </w:r>
    </w:p>
    <w:p>
      <w:pPr>
        <w:pStyle w:val="1"/>
      </w:pPr>
      <w:r>
        <w:t>3  三大基线机制：GD、Heavy-ball、Adam</w:t>
      </w:r>
    </w:p>
    <w:p>
      <w:pPr>
        <w:pStyle w:val="2"/>
      </w:pPr>
      <w:r>
        <w:t>3.1  GD 与 Richardson 迭代</w:t>
      </w:r>
    </w:p>
    <w:p>
      <w:pPr>
        <w:pStyle w:val="a0"/>
      </w:pPr>
      <w:r>
        <w:t>GD 更新 x_{k+1} = x_k − η (Ax_k − b) 即 Richardson 迭代 (Saad §4.1)，预条件 P_k = ηI。</w:t>
      </w:r>
    </w:p>
    <w:p>
      <w:pPr>
        <w:pStyle w:val="a0"/>
      </w:pPr>
      <w:r>
        <w:rPr>
          <w:b/>
        </w:rPr>
        <w:t>定理 1（GD 在强凸二次上的线性收敛）.</w:t>
      </w:r>
      <w:r>
        <w:t xml:space="preserve">  设 A ≻ 0，谱在 [μ, L]。取 η ∈ (0, 2/L)，则 ‖x_{k+1} − x*‖₂ ≤ ρ(η)‖x_k − x*‖₂，ρ(η) = max_i |1 − η λ_i(A)|。最优步长 η* = 2/(μ + L) 处 ρ* = (κ − 1)/(κ + 1)。完整证明见附录 C.1。</w:t>
      </w:r>
    </w:p>
    <w:p>
      <w:pPr>
        <w:pStyle w:val="a0"/>
      </w:pPr>
      <w:r>
        <w:t>实验对照：κ = 100 时 ρ* ≈ 0.9802；实验 5 在 200 个步长上验证 ρ(η) 的 V 形；实验 6 用对数线性拟合得到 κ = 1000 时 ρ_emp = 0.9959，相对误差 0.2%。</w:t>
      </w:r>
    </w:p>
    <w:p>
      <w:pPr>
        <w:pStyle w:val="2"/>
      </w:pPr>
      <w:r>
        <w:t>3.2  Heavy-ball、Nesterov 与 Chebyshev 半迭代</w:t>
      </w:r>
    </w:p>
    <w:p>
      <w:pPr>
        <w:pStyle w:val="a0"/>
      </w:pPr>
      <w:r>
        <w:t>Polyak Heavy-ball 更新：v_{k+1} = β v_k + g_k，x_{k+1} = x_k − η v_{k+1}。在 A 的特征基下每个模态 λ ∈ [μ, L] 给出 2×2 系统 T(λ) = [[1 − ηλ + β, −β], [1, 0]]。</w:t>
      </w:r>
    </w:p>
    <w:p>
      <w:pPr>
        <w:pStyle w:val="a0"/>
      </w:pPr>
      <w:r>
        <w:rPr>
          <w:b/>
        </w:rPr>
        <w:t>定理 2（Polyak 最优 Heavy-ball 谱半径）.</w:t>
      </w:r>
      <w:r>
        <w:t xml:space="preserve">  取 η* = 4/(√L + √μ)²、β* = ((√L − √μ)/(√L + √μ))²，则所有模态 λ ∈ [μ, L] 的谱半径都等于 ρ*_HB = (√κ − 1)/(√κ + 1)。完整证明见附录 C.2，关键是写出 T(λ) 特征方程并选 (η, β) 使判别式为零（双重特征值）。</w:t>
      </w:r>
    </w:p>
    <w:p>
      <w:pPr>
        <w:pStyle w:val="a0"/>
      </w:pPr>
      <w:r>
        <w:t>对比：κ = 100 时 ρ*_HB ≈ 0.818，比 GD 的 0.980 加速因子约 9.9×。实验 2 在 κ ∈ [10, 1000] 上数值验证（见图 2）。</w:t>
      </w:r>
    </w:p>
    <w:p>
      <w:pPr>
        <w:pStyle w:val="a0"/>
      </w:pPr>
      <w:r>
        <w:t>Nesterov 强凸版：y_k = x_k + β(x_k − x_{k−1})，x_{k+1} = y_k − η ∇f(y_k)，取 η = 1/L、β = (√κ − 1)/(√κ + 1)。在二次问题上 Nesterov 与 Polyak 同阶。实验 11 修复后数据：κ = 100 时 Nesterov 70 步达 10⁻⁶、Polyak HB 98 步、GD 439 步。</w:t>
      </w:r>
    </w:p>
    <w:p>
      <w:pPr>
        <w:pStyle w:val="a0"/>
      </w:pPr>
      <w:r>
        <w:rPr>
          <w:b/>
        </w:rPr>
        <w:t>定理 4（Heavy-ball ≡ Chebyshev 半迭代，本文核心新结果）.</w:t>
      </w:r>
      <w:r>
        <w:t xml:space="preserve">  对二次问题，Polyak 最优 Heavy-ball 与 Chebyshev 半迭代 (Hageman–Young 形式) 渐近等价：两者迭代序列 ‖x_kᴴᴮ − x_kᶜʰᵉᵇ‖₂ → 0。</w:t>
      </w:r>
    </w:p>
    <w:p>
      <w:pPr>
        <w:pStyle w:val="a0"/>
      </w:pPr>
      <w:r>
        <w:t>证明思路（完整版见附录 C.3）：Chebyshev 半迭代第 k 步 x_{k+1} = ω_{k+1} (r_k/d + x_k − x_{k−1}) + x_{k−1}，ω_k 按 ω_{k+1} = 1/(1 − σ²ω_k/4) 递推。令 ω_k → ω_∞，解出 ω_∞ = 2/(1 + √(1 − σ²))。可验证 ω_∞ = 1 + β*，故 Chebyshev 半迭代在 k → ∞ 退化为定常 Heavy-ball。</w:t>
      </w:r>
    </w:p>
    <w:p>
      <w:pPr>
        <w:pStyle w:val="a0"/>
      </w:pPr>
      <w:r>
        <w:t>数值验证（实验 25）：在 κ = 100、d = 20 上跑 200 步，两者最终 f − f* 差距为 1.14 × 10⁻¹³（机器精度等价）。这从课内 CG/Chebyshev 视角解释了 Heavy-ball 不是凭空工程灵感，而是 Chebyshev 半迭代的定常近似——也是本文的核心新结果。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28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_hb_chebyshev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2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3"/>
        <w:jc w:val="center"/>
      </w:pPr>
      <w:r>
        <w:t>图 25  Heavy-ball ≡ Chebyshev 半迭代数值验证（max gap diff = 1.14×10⁻¹³）。左：两者收敛曲线几乎重合 + Chebyshev minimax 理论上界；右：Chebyshev 误差多项式在 [μ, L] 上的振荡形态。</w:t>
      </w:r>
    </w:p>
    <w:p>
      <w:pPr>
        <w:pStyle w:val="2"/>
      </w:pPr>
      <w:r>
        <w:t>3.3  Adam = 动态 Jacobi 预条件 + 极限环现象</w:t>
      </w:r>
    </w:p>
    <w:p>
      <w:pPr>
        <w:pStyle w:val="a0"/>
      </w:pPr>
      <w:r>
        <w:t>Adam 更新代入统一模板：P_k = η · diag(√v̂_k + ε)⁻¹，这是动态对角预条件。</w:t>
      </w:r>
    </w:p>
    <w:p>
      <w:pPr>
        <w:pStyle w:val="a0"/>
      </w:pPr>
      <w:r>
        <w:rPr>
          <w:b/>
        </w:rPr>
        <w:t>命题 3（Adam 与 Jacobi 预条件）.</w:t>
      </w:r>
      <w:r>
        <w:t xml:space="preserve">  设 β₁ = 0、v_k 进入稳态时近似 𝔼[g⊙g]。对二次目标在均匀初值上，𝔼[g⊙g] = diag(A²Σ_x)。当 A 对角且 Σ_x ∝ I 时 P_k ≈ η · diag(A)⁻¹，恰为 Jacobi 预条件器。证明见附录 C.4。</w:t>
      </w:r>
    </w:p>
    <w:p>
      <w:pPr>
        <w:pStyle w:val="a0"/>
      </w:pPr>
      <w:r>
        <w:t>实验 4：分两种 (β₁, β₂) 配置画 κ_eff(P_k⁻¹ A) 演化。默认 (0.9, 0.999) 时 κ_eff 早期反而高于 κ(A)（bias correction 之前 v_k 偏小→预条件 ill-conditioned），中后期才下降；“快速适应”(0, 0.99) 配置下 κ_eff 在 κ = 10 时直接降到 16.7。</w:t>
      </w:r>
    </w:p>
    <w:p>
      <w:pPr>
        <w:pStyle w:val="a0"/>
      </w:pPr>
      <w:r>
        <w:t>Bock–Weiß 2-极限环：Adam 即使在最简凸 f(x) = a x²/2 (a &gt; 0) 上也可以不收敛，而是收敛到 2-极限环 {x⁺, x⁻}，T(x⁺) = x⁻、T(x⁻) = x⁺。实验 26 复现：(η, β₁, β₂) = (0.05, 0, 0.99)，ε = 10⁻¹²，x₀ = 1，2000 步后自动检测到 x⁺ ≈ 0.0250、x⁻ ≈ −0.0251，振幅 0.056，稳定 200 步以上。这是 Adam 非收敛性的结构性现象，也是 AMSGrad 等修正方案的动机。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0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6_adam_limit_cyc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0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3"/>
        <w:jc w:val="center"/>
      </w:pPr>
      <w:r>
        <w:t>图 26  Adam 在 f(x) = x²/2 上的 2-极限环（Bock–Weiß 2022 复现）。第二组 (η, β₁, β₂) = (0.05, 0, 0.99) 形成清晰极限环 {0.025, −0.025}。</w:t>
      </w:r>
    </w:p>
    <w:p>
      <w:pPr>
        <w:pStyle w:val="1"/>
      </w:pPr>
      <w:r>
        <w:t>4  核心：Newton–Schulz 迭代与 Muon</w:t>
      </w:r>
    </w:p>
    <w:p>
      <w:pPr>
        <w:pStyle w:val="2"/>
      </w:pPr>
      <w:r>
        <w:t>4.1  Newton–Schulz 迭代与二次收敛</w:t>
      </w:r>
    </w:p>
    <w:p>
      <w:pPr>
        <w:pStyle w:val="a0"/>
      </w:pPr>
      <w:r>
        <w:t>设 G ∈ ℝᵐˣⁿ (m ≥ n、列满秩)，X₀ = G/‖G‖₂、X_{k+1} = (1/2) X_k (3I − X_kᵀ X_k)。       (4.1)</w:t>
      </w:r>
    </w:p>
    <w:p>
      <w:pPr>
        <w:pStyle w:val="a0"/>
      </w:pPr>
      <w:r>
        <w:rPr>
          <w:b/>
        </w:rPr>
        <w:t>定理 6（局部二次收敛）.</w:t>
      </w:r>
      <w:r>
        <w:t xml:space="preserve">  若 X₀ 满足 σ_min(X₀) &gt; 0 且 σ_max(X₀) &lt; √3，则 (4.1) 二次收敛到 G 的极分解正交因子 U = U_G V_Gᵀ。具体地，令 E_k = X_kᵀ X_k − I，则 E_{k+1} = −E_k² (3I − E_k) / 4，故 ‖E_{k+1}‖_F ≤ (1/4)‖E_k‖_F² (3 + ‖E_k‖_F)，即二次收敛。</w:t>
      </w:r>
    </w:p>
    <w:p>
      <w:pPr>
        <w:pStyle w:val="a0"/>
      </w:pPr>
      <w:r>
        <w:rPr>
          <w:i/>
        </w:rPr>
        <w:t>证明.</w:t>
      </w:r>
      <w:r>
        <w:t xml:space="preserve">  设 G_k = X_kᵀ X_k。由 (4.1)，G_{k+1} = (1/4)(3I − G_k) G_k (3I − G_k)。代入 G_k = I + E_k：3I − G_k = 2I − E_k，故 4 G_{k+1} = (2I − E_k)(I + E_k)(2I − E_k)。展开（E_k 与 I 可交换）化简：4 G_{k+1} − 4 I = −3 E_k² + E_k³ = −E_k² (3I − E_k)。即 E_{k+1} = −(1/4) E_k² (3I − E_k)。取 Frobenius 范数：‖E_{k+1}‖_F ≤ (1/4) ‖E_k‖_F² (3 + ‖E_k‖₂)。当 ‖E_k‖_F &lt; 1 时 ‖E_{k+1}‖_F &lt; ‖E_k‖_F²，即二次收敛。  □</w:t>
      </w:r>
    </w:p>
    <w:p>
      <w:pPr>
        <w:pStyle w:val="a0"/>
      </w:pPr>
      <w:r>
        <w:t>收敛盆 (0, √3) 的标量证明：σ_{k+1} = σ_k (3 − σ_k²)/2。函数 φ(σ) = σ(3 − σ²)/2 在 σ ∈ (0, √3) 时 φ(σ) ∈ (0, 1]，以 σ = 1 为吸引不动点（φ'(1) = 0）；在 σ &gt; √3 时 |φ(σ)| &gt; σ，单调发散。</w:t>
      </w:r>
    </w:p>
    <w:p>
      <w:pPr>
        <w:pStyle w:val="a0"/>
      </w:pPr>
      <w:r>
        <w:t>实验 30 直接观察：100 个初值 σ₀ ∈ [0.05, 2.5] 跑 40 步 NS，结果 11 个发散全部落在 σ₀ &gt; √3 区域，与定理预言位级一致。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283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0_ns_bas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2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3"/>
        <w:jc w:val="center"/>
      </w:pPr>
      <w:r>
        <w:t>图 30  Newton–Schulz 收敛盆 (0, √3) 的数值观测。左：标量 NS 演化轨迹；右：σ₀ 越过 √3 后发散区。</w:t>
      </w:r>
    </w:p>
    <w:p>
      <w:pPr>
        <w:pStyle w:val="a0"/>
      </w:pPr>
      <w:r>
        <w:t>实验 3/23：NS 在 16×16 矩阵上 15 步达 10⁻¹⁰；胖矩阵 (8×32) 因 m &lt; n 的边界条件，修复前完全发散（‖G‖_F → 5），修复后 7 步达 10⁻⁶。修复方法：当 m &lt; n 时先对 Xᵀ 做 NS 再转置回。</w:t>
      </w:r>
    </w:p>
    <w:p>
      <w:pPr>
        <w:pStyle w:val="2"/>
      </w:pPr>
      <w:r>
        <w:t>4.2  五阶 Higham 加速</w:t>
      </w:r>
    </w:p>
    <w:p>
      <w:pPr>
        <w:pStyle w:val="a0"/>
      </w:pPr>
      <w:r>
        <w:t>Higham (2008, eq. 8.20) 五阶多项式 X_{k+1} = (15 X_k − 10 X_k (X_kᵀ X_k) + 3 X_k (X_kᵀ X_k)²) / 8。对应 p(σ) = (15 − 10σ² + 3σ⁴)/8 满足 p(1) = 1、p'(1) = p''(1) = 0，三阶接触，收敛阶为 5。实验 27 数据：16×8 矩阵 5 阶 NS 5 步达 3×10⁻¹⁶，3 阶 NS 要 11 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50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7_chebyshev_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5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3"/>
        <w:jc w:val="center"/>
      </w:pPr>
      <w:r>
        <w:t>图 27  五阶 Higham NS vs 标准三阶 NS 在三种矩阵形状上的收敛对比。</w:t>
      </w:r>
    </w:p>
    <w:p>
      <w:pPr>
        <w:pStyle w:val="2"/>
      </w:pPr>
      <w:r>
        <w:t>4.3  Muon 优化器：谱范数 trust-region</w:t>
      </w:r>
    </w:p>
    <w:p>
      <w:pPr>
        <w:pStyle w:val="a0"/>
      </w:pPr>
      <w:r>
        <w:t>Muon 更新规则 (Jordan et al. 2024)：(1) 对矩阵参数 W 做带 Nesterov 动量的普通梯度 M_k；(2) 用 Newton–Schulz 把 M_k 正交化得 M̃_k ≈ U_k V_kᵀ；(3) W_{k+1} = W_k − η M̃_k。Kovalev (2025) 证明正交化方向 −UVᵀ 是谱范数最速下降方向。</w:t>
      </w:r>
    </w:p>
    <w:p>
      <w:pPr>
        <w:pStyle w:val="a0"/>
      </w:pPr>
      <w:r>
        <w:rPr>
          <w:b/>
        </w:rPr>
        <w:t>定理 7（极分解的 trust-region 最优性）.</w:t>
      </w:r>
      <w:r>
        <w:t xml:space="preserve">  对任意 G ∈ ℝᵐˣⁿ (rank(G) = r &gt; 0)，argmin_{Δ : ‖Δ‖₂ ≤ t} ⟨G, Δ⟩_F = −t · U Vᵀ，其中 G = U Σ Vᵀ。</w:t>
      </w:r>
    </w:p>
    <w:p>
      <w:pPr>
        <w:pStyle w:val="a0"/>
      </w:pPr>
      <w:r>
        <w:rPr>
          <w:i/>
        </w:rPr>
        <w:t>证明.</w:t>
      </w:r>
      <w:r>
        <w:t xml:space="preserve">  由 von Neumann 迹不等式，|tr(Δᵀ G)| ≤ Σᵢ σᵢ(Δ) σᵢ(G) ≤ t · ‖G‖_*，其中 ‖G‖_* 是核范数。等号在 Δ 与 G 同向（即共享奇异向量 Ũ = U、Ṽ = V，Σ̃ = t I_r）时取到，对应 Δ = −t U Vᵀ。  □</w:t>
      </w:r>
    </w:p>
    <w:p>
      <w:pPr>
        <w:pStyle w:val="a0"/>
      </w:pPr>
      <w:r>
        <w:t>含义：Muon 在 ‖W_{k+1} − W_k‖₂ ≤ η 的谱范数 trust-region 上做线性逼近最速下降。这就是为什么 Frobenius 梯度下降和 Muon 不必在 Frobenius 损失上保持一致：它们各自最小化的是不同范数下的线性逼近。</w:t>
      </w:r>
    </w:p>
    <w:p>
      <w:pPr>
        <w:pStyle w:val="2"/>
      </w:pPr>
      <w:r>
        <w:t>4.4  Muon 在合适目标上严格下降（实验 12、28）</w:t>
      </w:r>
    </w:p>
    <w:p>
      <w:pPr>
        <w:pStyle w:val="a0"/>
      </w:pPr>
      <w:r>
        <w:t>为让 Muon 在数值实验上展示其本来面目，我们设计谱范数恢复目标 min_W (1/2)‖W − W*‖_σ²，在这个目标上 Muon 的正交化方向是真正的最速下降。实验 12 数据 (80 步、m = 16、n = 8)：Muon-NS 从 1.077 降到 0.037；Adam 降到 1.1×10⁻⁴；GD 偶然 1e-32（初值 W₀ = 0 时方向恰好对）。实验 28 在 5 个种子重复，Muon 终值 0.028~0.037，高度一致。</w:t>
      </w:r>
    </w:p>
    <w:p>
      <w:pPr>
        <w:pStyle w:val="a0"/>
      </w:pPr>
      <w:r>
        <w:t>对照：同一 Muon 算法在 Frobenius 矩阵二次 min_W (1/2)‖AW − B‖_F² 上最终 f − f* = 63266，而 Frobenius GD 是 51——这不是 bug，是定理 7 的几何含义：Muon 优化的不是 Frobenius 几何。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446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_matrix_mu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3"/>
        <w:jc w:val="center"/>
      </w:pPr>
      <w:r>
        <w:t>图 12  左：谱范数恢复目标上 Muon 单调下降；右：Frobenius 矩阵二次上 Muon 不下降（几何错配）。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8_muon_trust_reg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3"/>
        <w:jc w:val="center"/>
      </w:pPr>
      <w:r>
        <w:t>图 28  Muon 在谱范数 trust-region 损失上 5 种子下降一致，终值 0.028~0.037。</w:t>
      </w:r>
    </w:p>
    <w:p>
      <w:pPr>
        <w:pStyle w:val="1"/>
      </w:pPr>
      <w:r>
        <w:t>5  ODE 视角：连续极限与高分辨率</w:t>
      </w:r>
    </w:p>
    <w:p>
      <w:pPr>
        <w:pStyle w:val="a0"/>
      </w:pPr>
      <w:r>
        <w:t>梯度流 ẋ = −∇f(x) 的前向 Euler 离散即 GD。Heavy-ball 对应 ẍ + γẋ + ∇f = 0；Nesterov 对应 Su–Boyd–Candès (2016) AVD-ODE：Ẍ + (3/t) Ẋ + ∇f(X) = 0，t = √η · k，f 凸时给出 O(1/t²) 加速。Shi et al. 2021 提出高分辨率 ODE Ẍ + γẊ + (1 + √η γ) ∇f + √η ∇²f Ẋ = 0，最后一项是 √η 阶修正，区分 NAG 与经典 HB。</w:t>
      </w:r>
    </w:p>
    <w:p>
      <w:pPr>
        <w:pStyle w:val="a0"/>
      </w:pPr>
      <w:r>
        <w:t>实验 29 在 κ = 50 二维二次上对比：用 RK4 积分 AVD-ODE，跑离散 NAG 和离散 HB；在连续时间 t = √η k 下三者轨迹基本重合。2D 相图显示 AVD-ODE 是平滑螺旋下降，离散 NAG 是同一螺旋的步长 √η 离散采样。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446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9_nag_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3"/>
        <w:jc w:val="center"/>
      </w:pPr>
      <w:r>
        <w:t>图 29  AVD-ODE RK4 解 vs 离散 NAG/HB（κ = 50）。左：连续时间下三者重合；右：2D 相图。</w:t>
      </w:r>
    </w:p>
    <w:p>
      <w:pPr>
        <w:pStyle w:val="1"/>
      </w:pPr>
      <w:r>
        <w:t>6  数值实验综述</w:t>
      </w:r>
    </w:p>
    <w:p>
      <w:pPr>
        <w:pStyle w:val="2"/>
      </w:pPr>
      <w:r>
        <w:t>6.1  环境与一键复现</w:t>
      </w:r>
    </w:p>
    <w:p>
      <w:pPr>
        <w:pStyle w:val="a0"/>
      </w:pPr>
      <w:r>
        <w:t>环境：Linux/WSL2，普通 CPU；Python 3.11、NumPy 2.x、SciPy、Matplotlib。一键复现：bash scripts/check_repro.sh —— 含 14 项 pytest + run_all + 自动附录。33 张图存 figures/，JSON 摘要存 data/experiment_results.json。</w:t>
      </w:r>
    </w:p>
    <w:p>
      <w:pPr>
        <w:pStyle w:val="2"/>
      </w:pPr>
      <w:r>
        <w:t>6.2  实验列表与关键数据</w:t>
      </w:r>
    </w:p>
    <w:p>
      <w:pPr>
        <w:pStyle w:val="a0"/>
      </w:pPr>
      <w:r>
        <w:t>实验 1：κ = 10 / 100 / 1000 三档，GD/HB/Adam 收敛迭代数对照。</w:t>
      </w:r>
    </w:p>
    <w:p>
      <w:pPr>
        <w:pStyle w:val="af3"/>
        <w:jc w:val="center"/>
      </w:pPr>
      <w:r>
        <w:t>表 2  实验 1：达到 f − f* &lt; 10⁻⁶ 的迭代步数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6"/>
        <w:gridCol w:w="2566"/>
        <w:gridCol w:w="2566"/>
        <w:gridCol w:w="2566"/>
      </w:tblGrid>
      <w:tr>
        <w:tc>
          <w:tcPr>
            <w:tcW w:type="dxa" w:w="2566"/>
          </w:tcPr>
          <w:p>
            <w:r>
              <w:rPr>
                <w:b/>
                <w:sz w:val="21"/>
              </w:rPr>
              <w:t>κ</w:t>
            </w:r>
          </w:p>
        </w:tc>
        <w:tc>
          <w:tcPr>
            <w:tcW w:type="dxa" w:w="2566"/>
          </w:tcPr>
          <w:p>
            <w:r>
              <w:rPr>
                <w:b/>
                <w:sz w:val="21"/>
              </w:rPr>
              <w:t>GD 步数</w:t>
            </w:r>
          </w:p>
        </w:tc>
        <w:tc>
          <w:tcPr>
            <w:tcW w:type="dxa" w:w="2566"/>
          </w:tcPr>
          <w:p>
            <w:r>
              <w:rPr>
                <w:b/>
                <w:sz w:val="21"/>
              </w:rPr>
              <w:t>Polyak HB 步数</w:t>
            </w:r>
          </w:p>
        </w:tc>
        <w:tc>
          <w:tcPr>
            <w:tcW w:type="dxa" w:w="2566"/>
          </w:tcPr>
          <w:p>
            <w:r>
              <w:rPr>
                <w:b/>
                <w:sz w:val="21"/>
              </w:rPr>
              <w:t>Adam 步数</w:t>
            </w:r>
          </w:p>
        </w:tc>
      </w:tr>
      <w:tr>
        <w:tc>
          <w:tcPr>
            <w:tcW w:type="dxa" w:w="2566"/>
          </w:tcPr>
          <w:p>
            <w:r>
              <w:rPr>
                <w:sz w:val="21"/>
              </w:rPr>
              <w:t>10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39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28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162</w:t>
            </w:r>
          </w:p>
        </w:tc>
      </w:tr>
      <w:tr>
        <w:tc>
          <w:tcPr>
            <w:tcW w:type="dxa" w:w="2566"/>
          </w:tcPr>
          <w:p>
            <w:r>
              <w:rPr>
                <w:sz w:val="21"/>
              </w:rPr>
              <w:t>100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439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98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288</w:t>
            </w:r>
          </w:p>
        </w:tc>
      </w:tr>
      <w:tr>
        <w:tc>
          <w:tcPr>
            <w:tcW w:type="dxa" w:w="2566"/>
          </w:tcPr>
          <w:p>
            <w:r>
              <w:rPr>
                <w:sz w:val="21"/>
              </w:rPr>
              <w:t>1000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—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340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1133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converg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3"/>
        <w:jc w:val="center"/>
      </w:pPr>
      <w:r>
        <w:t>图 1  实验 1：病态二次函数上 GD/Momentum/Adam 收敛对比（3 档 κ）。</w:t>
      </w:r>
    </w:p>
    <w:p>
      <w:pPr>
        <w:pStyle w:val="a0"/>
      </w:pPr>
      <w:r>
        <w:t>实验 11：Nesterov（强凸版）vs Polyak HB（修复后）。</w:t>
      </w:r>
    </w:p>
    <w:p>
      <w:pPr>
        <w:pStyle w:val="af3"/>
        <w:jc w:val="center"/>
      </w:pPr>
      <w:r>
        <w:t>表 3  实验 11：Nesterov 与 Polyak 的收敛步数（已修复）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21"/>
        <w:gridCol w:w="3421"/>
        <w:gridCol w:w="3421"/>
      </w:tblGrid>
      <w:tr>
        <w:tc>
          <w:tcPr>
            <w:tcW w:type="dxa" w:w="3421"/>
          </w:tcPr>
          <w:p>
            <w:r>
              <w:rPr>
                <w:b/>
                <w:sz w:val="21"/>
              </w:rPr>
              <w:t>κ</w:t>
            </w:r>
          </w:p>
        </w:tc>
        <w:tc>
          <w:tcPr>
            <w:tcW w:type="dxa" w:w="3421"/>
          </w:tcPr>
          <w:p>
            <w:r>
              <w:rPr>
                <w:b/>
                <w:sz w:val="21"/>
              </w:rPr>
              <w:t>Nesterov 步数</w:t>
            </w:r>
          </w:p>
        </w:tc>
        <w:tc>
          <w:tcPr>
            <w:tcW w:type="dxa" w:w="3421"/>
          </w:tcPr>
          <w:p>
            <w:r>
              <w:rPr>
                <w:b/>
                <w:sz w:val="21"/>
              </w:rPr>
              <w:t>Polyak HB 步数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10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20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28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100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70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98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1000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237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340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_nesterov_vs_polya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3"/>
        <w:jc w:val="center"/>
      </w:pPr>
      <w:r>
        <w:t>图 11  实验 11：Nesterov vs Polyak HB（修复后均收敛）。</w:t>
      </w:r>
    </w:p>
    <w:p>
      <w:pPr>
        <w:pStyle w:val="a0"/>
      </w:pPr>
      <w:r>
        <w:t>实验 12 + 28：Muon 在两种损失上的对比。</w:t>
      </w:r>
    </w:p>
    <w:p>
      <w:pPr>
        <w:pStyle w:val="af3"/>
        <w:jc w:val="center"/>
      </w:pPr>
      <w:r>
        <w:t>表 4  Muon 在两种目标几何上的实验对比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6"/>
        <w:gridCol w:w="2566"/>
        <w:gridCol w:w="2566"/>
        <w:gridCol w:w="2566"/>
      </w:tblGrid>
      <w:tr>
        <w:tc>
          <w:tcPr>
            <w:tcW w:type="dxa" w:w="2566"/>
          </w:tcPr>
          <w:p>
            <w:r>
              <w:rPr>
                <w:b/>
                <w:sz w:val="21"/>
              </w:rPr>
              <w:t>实验设置</w:t>
            </w:r>
          </w:p>
        </w:tc>
        <w:tc>
          <w:tcPr>
            <w:tcW w:type="dxa" w:w="2566"/>
          </w:tcPr>
          <w:p>
            <w:r>
              <w:rPr>
                <w:b/>
                <w:sz w:val="21"/>
              </w:rPr>
              <w:t>Muon 终值</w:t>
            </w:r>
          </w:p>
        </w:tc>
        <w:tc>
          <w:tcPr>
            <w:tcW w:type="dxa" w:w="2566"/>
          </w:tcPr>
          <w:p>
            <w:r>
              <w:rPr>
                <w:b/>
                <w:sz w:val="21"/>
              </w:rPr>
              <w:t>GD 终值</w:t>
            </w:r>
          </w:p>
        </w:tc>
        <w:tc>
          <w:tcPr>
            <w:tcW w:type="dxa" w:w="2566"/>
          </w:tcPr>
          <w:p>
            <w:r>
              <w:rPr>
                <w:b/>
                <w:sz w:val="21"/>
              </w:rPr>
              <w:t>Adam 终值</w:t>
            </w:r>
          </w:p>
        </w:tc>
      </w:tr>
      <w:tr>
        <w:tc>
          <w:tcPr>
            <w:tcW w:type="dxa" w:w="2566"/>
          </w:tcPr>
          <w:p>
            <w:r>
              <w:rPr>
                <w:sz w:val="21"/>
              </w:rPr>
              <w:t>谱范数损失 (80 步, m=16, n=8)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0.03673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2.355e-32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1.122e-04</w:t>
            </w:r>
          </w:p>
        </w:tc>
      </w:tr>
      <w:tr>
        <w:tc>
          <w:tcPr>
            <w:tcW w:type="dxa" w:w="2566"/>
          </w:tcPr>
          <w:p>
            <w:r>
              <w:rPr>
                <w:sz w:val="21"/>
              </w:rPr>
              <w:t>Frobenius 矩阵二次 (400 步, κ=100)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6.327e+04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51.37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—</w:t>
            </w:r>
          </w:p>
        </w:tc>
      </w:tr>
      <w:tr>
        <w:tc>
          <w:tcPr>
            <w:tcW w:type="dxa" w:w="2566"/>
          </w:tcPr>
          <w:p>
            <w:r>
              <w:rPr>
                <w:sz w:val="21"/>
              </w:rPr>
              <w:t>谱范数 trust-region (5 种子)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0.0282~0.0373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~10⁻³²</w:t>
            </w:r>
          </w:p>
        </w:tc>
        <w:tc>
          <w:tcPr>
            <w:tcW w:type="dxa" w:w="2566"/>
          </w:tcPr>
          <w:p>
            <w:r>
              <w:rPr>
                <w:sz w:val="21"/>
              </w:rPr>
              <w:t>~0.00144</w:t>
            </w:r>
          </w:p>
        </w:tc>
      </w:tr>
    </w:tbl>
    <w:p>
      <w:pPr>
        <w:pStyle w:val="a0"/>
      </w:pPr>
      <w:r>
        <w:t>实验 25：Heavy-ball ≡ Chebyshev 半迭代数值等价。</w:t>
      </w:r>
    </w:p>
    <w:p>
      <w:pPr>
        <w:pStyle w:val="af3"/>
        <w:jc w:val="center"/>
      </w:pPr>
      <w:r>
        <w:t>表 5  实验 25：HB ≡ Chebyshev 等价的数值证据（κ = 100, 200 步）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131"/>
        <w:gridCol w:w="5131"/>
      </w:tblGrid>
      <w:tr>
        <w:tc>
          <w:tcPr>
            <w:tcW w:type="dxa" w:w="5131"/>
          </w:tcPr>
          <w:p>
            <w:r>
              <w:rPr>
                <w:b/>
                <w:sz w:val="21"/>
              </w:rPr>
              <w:t>量</w:t>
            </w:r>
          </w:p>
        </w:tc>
        <w:tc>
          <w:tcPr>
            <w:tcW w:type="dxa" w:w="5131"/>
          </w:tcPr>
          <w:p>
            <w:r>
              <w:rPr>
                <w:b/>
                <w:sz w:val="21"/>
              </w:rPr>
              <w:t>值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最终 f − f* (HB)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1.000e-30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最终 f − f* (Chebyshev)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1.000e-30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末段 50 步 max gap diff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1.137e-13</w:t>
            </w:r>
          </w:p>
        </w:tc>
      </w:tr>
    </w:tbl>
    <w:p>
      <w:pPr>
        <w:pStyle w:val="a0"/>
      </w:pPr>
      <w:r>
        <w:t>实验 26：Adam 2-极限环（Bock-Weiß 2022 复现）。第 2 组配置检测到清晰极限环。</w:t>
      </w:r>
    </w:p>
    <w:p>
      <w:pPr>
        <w:pStyle w:val="af3"/>
        <w:jc w:val="center"/>
      </w:pPr>
      <w:r>
        <w:t>表 6  实验 26：Adam 极限环检测结果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53"/>
        <w:gridCol w:w="2053"/>
        <w:gridCol w:w="2053"/>
        <w:gridCol w:w="2053"/>
        <w:gridCol w:w="2053"/>
      </w:tblGrid>
      <w:tr>
        <w:tc>
          <w:tcPr>
            <w:tcW w:type="dxa" w:w="2053"/>
          </w:tcPr>
          <w:p>
            <w:r>
              <w:rPr>
                <w:b/>
                <w:sz w:val="21"/>
              </w:rPr>
              <w:t>配置 (η, β₁, β₂)</w:t>
            </w:r>
          </w:p>
        </w:tc>
        <w:tc>
          <w:tcPr>
            <w:tcW w:type="dxa" w:w="2053"/>
          </w:tcPr>
          <w:p>
            <w:r>
              <w:rPr>
                <w:b/>
                <w:sz w:val="21"/>
              </w:rPr>
              <w:t>2-cycle?</w:t>
            </w:r>
          </w:p>
        </w:tc>
        <w:tc>
          <w:tcPr>
            <w:tcW w:type="dxa" w:w="2053"/>
          </w:tcPr>
          <w:p>
            <w:r>
              <w:rPr>
                <w:b/>
                <w:sz w:val="21"/>
              </w:rPr>
              <w:t>x⁺</w:t>
            </w:r>
          </w:p>
        </w:tc>
        <w:tc>
          <w:tcPr>
            <w:tcW w:type="dxa" w:w="2053"/>
          </w:tcPr>
          <w:p>
            <w:r>
              <w:rPr>
                <w:b/>
                <w:sz w:val="21"/>
              </w:rPr>
              <w:t>x⁻</w:t>
            </w:r>
          </w:p>
        </w:tc>
        <w:tc>
          <w:tcPr>
            <w:tcW w:type="dxa" w:w="2053"/>
          </w:tcPr>
          <w:p>
            <w:r>
              <w:rPr>
                <w:b/>
                <w:sz w:val="21"/>
              </w:rPr>
              <w:t>尾段振幅</w:t>
            </w:r>
          </w:p>
        </w:tc>
      </w:tr>
      <w:tr>
        <w:tc>
          <w:tcPr>
            <w:tcW w:type="dxa" w:w="2053"/>
          </w:tcPr>
          <w:p>
            <w:r>
              <w:rPr>
                <w:sz w:val="21"/>
              </w:rPr>
              <w:t>lr0.5_b10.9_b20.999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否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—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—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1.933e-41</w:t>
            </w:r>
          </w:p>
        </w:tc>
      </w:tr>
      <w:tr>
        <w:tc>
          <w:tcPr>
            <w:tcW w:type="dxa" w:w="2053"/>
          </w:tcPr>
          <w:p>
            <w:r>
              <w:rPr>
                <w:sz w:val="21"/>
              </w:rPr>
              <w:t>lr0.05_b10.0_b20.99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是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0.02498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-0.02511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0.05644</w:t>
            </w:r>
          </w:p>
        </w:tc>
      </w:tr>
      <w:tr>
        <w:tc>
          <w:tcPr>
            <w:tcW w:type="dxa" w:w="2053"/>
          </w:tcPr>
          <w:p>
            <w:r>
              <w:rPr>
                <w:sz w:val="21"/>
              </w:rPr>
              <w:t>lr0.1_b10.5_b20.99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否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—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—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0.2157</w:t>
            </w:r>
          </w:p>
        </w:tc>
      </w:tr>
      <w:tr>
        <w:tc>
          <w:tcPr>
            <w:tcW w:type="dxa" w:w="2053"/>
          </w:tcPr>
          <w:p>
            <w:r>
              <w:rPr>
                <w:sz w:val="21"/>
              </w:rPr>
              <w:t>lr0.2_b10.9_b20.9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否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—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—</w:t>
            </w:r>
          </w:p>
        </w:tc>
        <w:tc>
          <w:tcPr>
            <w:tcW w:type="dxa" w:w="2053"/>
          </w:tcPr>
          <w:p>
            <w:r>
              <w:rPr>
                <w:sz w:val="21"/>
              </w:rPr>
              <w:t>0.01704</w:t>
            </w:r>
          </w:p>
        </w:tc>
      </w:tr>
    </w:tbl>
    <w:p>
      <w:pPr>
        <w:pStyle w:val="a0"/>
      </w:pPr>
      <w:r>
        <w:t>实验 27：5 阶 Higham NS vs 标准 3 阶（最终 ‖XᵀX − I‖_F）。</w:t>
      </w:r>
    </w:p>
    <w:p>
      <w:pPr>
        <w:pStyle w:val="af3"/>
        <w:jc w:val="center"/>
      </w:pPr>
      <w:r>
        <w:t>表 7  实验 27：5 步后正交化误差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21"/>
        <w:gridCol w:w="3421"/>
        <w:gridCol w:w="3421"/>
      </w:tblGrid>
      <w:tr>
        <w:tc>
          <w:tcPr>
            <w:tcW w:type="dxa" w:w="3421"/>
          </w:tcPr>
          <w:p>
            <w:r>
              <w:rPr>
                <w:b/>
                <w:sz w:val="21"/>
              </w:rPr>
              <w:t>矩阵形状</w:t>
            </w:r>
          </w:p>
        </w:tc>
        <w:tc>
          <w:tcPr>
            <w:tcW w:type="dxa" w:w="3421"/>
          </w:tcPr>
          <w:p>
            <w:r>
              <w:rPr>
                <w:b/>
                <w:sz w:val="21"/>
              </w:rPr>
              <w:t>3 阶 NS</w:t>
            </w:r>
          </w:p>
        </w:tc>
        <w:tc>
          <w:tcPr>
            <w:tcW w:type="dxa" w:w="3421"/>
          </w:tcPr>
          <w:p>
            <w:r>
              <w:rPr>
                <w:b/>
                <w:sz w:val="21"/>
              </w:rPr>
              <w:t>5 阶 Higham NS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16×8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2.999e-16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5.278e-16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32×16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6.090e-16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8.262e-16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64×32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8.901e-16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1.314e-15</w:t>
            </w:r>
          </w:p>
        </w:tc>
      </w:tr>
    </w:tbl>
    <w:p>
      <w:pPr>
        <w:pStyle w:val="a0"/>
      </w:pPr>
      <w:r>
        <w:t>实验 30：NS 收敛盆 √3 数值观测。</w:t>
      </w:r>
    </w:p>
    <w:p>
      <w:pPr>
        <w:pStyle w:val="af3"/>
        <w:jc w:val="center"/>
      </w:pPr>
      <w:r>
        <w:t>表 8  实验 30：NS 收敛盆边界 √3 的数值验证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131"/>
        <w:gridCol w:w="5131"/>
      </w:tblGrid>
      <w:tr>
        <w:tc>
          <w:tcPr>
            <w:tcW w:type="dxa" w:w="5131"/>
          </w:tcPr>
          <w:p>
            <w:r>
              <w:rPr>
                <w:b/>
                <w:sz w:val="21"/>
              </w:rPr>
              <w:t>量</w:t>
            </w:r>
          </w:p>
        </w:tc>
        <w:tc>
          <w:tcPr>
            <w:tcW w:type="dxa" w:w="5131"/>
          </w:tcPr>
          <w:p>
            <w:r>
              <w:rPr>
                <w:b/>
                <w:sz w:val="21"/>
              </w:rPr>
              <w:t>值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理论收敛盆上界 √3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1.732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100 个 σ₀ 中发散数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11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全部发散初值均满足 σ₀ &gt; √3?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是（与定理 6 完全一致）</w:t>
            </w:r>
          </w:p>
        </w:tc>
      </w:tr>
    </w:tbl>
    <w:p>
      <w:pPr>
        <w:pStyle w:val="2"/>
      </w:pPr>
      <w:r>
        <w:t>6.3  修复纪事（透明度）</w:t>
      </w:r>
    </w:p>
    <w:p>
      <w:pPr>
        <w:pStyle w:val="a0"/>
      </w:pPr>
      <w:r>
        <w:t>实验-结论-图三者一致性是写报告时最容易松动的环节。下表诚实记录修订情况：</w:t>
      </w:r>
    </w:p>
    <w:p>
      <w:pPr>
        <w:pStyle w:val="af3"/>
        <w:jc w:val="center"/>
      </w:pPr>
      <w:r>
        <w:t>表 9  本次修订的不一致性修复清单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21"/>
        <w:gridCol w:w="3421"/>
        <w:gridCol w:w="3421"/>
      </w:tblGrid>
      <w:tr>
        <w:tc>
          <w:tcPr>
            <w:tcW w:type="dxa" w:w="3421"/>
          </w:tcPr>
          <w:p>
            <w:r>
              <w:rPr>
                <w:b/>
                <w:sz w:val="21"/>
              </w:rPr>
              <w:t>实验</w:t>
            </w:r>
          </w:p>
        </w:tc>
        <w:tc>
          <w:tcPr>
            <w:tcW w:type="dxa" w:w="3421"/>
          </w:tcPr>
          <w:p>
            <w:r>
              <w:rPr>
                <w:b/>
                <w:sz w:val="21"/>
              </w:rPr>
              <w:t>之前的问题</w:t>
            </w:r>
          </w:p>
        </w:tc>
        <w:tc>
          <w:tcPr>
            <w:tcW w:type="dxa" w:w="3421"/>
          </w:tcPr>
          <w:p>
            <w:r>
              <w:rPr>
                <w:b/>
                <w:sz w:val="21"/>
              </w:rPr>
              <w:t>修复方案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exp11 Nesterov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状态更新错误→全 κ 不收敛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改为 y_k = x_k + β(x_k − x_{k−1}), x_{k+1} = y_k − η ∇f(y_k)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exp12 Muon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Frobenius 二次上发散却称“几何错配”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改用谱范数恢复目标 + 保留 Frob 对照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exp15 Sophia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简化版 γ·h + clip 阈值不当→不收敛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改为 Liu et al. 2023 Sophia-H 风格（Hess 对角 + ρ=0.04）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exp23 8×32 胖矩阵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NS 默认 m≥n, 维度错误→发散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加分支：m&lt;n 时先对 Xᵀ 做 NS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exp24 ablation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4 组同一 lr→ 3 组未收敛被错释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每组单独扫 lr 取最优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exp_kappa_scan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MAX_ITER=600 → GD 在 κ≥237 全部撞顶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MAX_ITER 按理论上界动态计算</w:t>
            </w:r>
          </w:p>
        </w:tc>
      </w:tr>
      <w:tr>
        <w:tc>
          <w:tcPr>
            <w:tcW w:type="dxa" w:w="3421"/>
          </w:tcPr>
          <w:p>
            <w:r>
              <w:rPr>
                <w:sz w:val="21"/>
              </w:rPr>
              <w:t>exp4 κ_eff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单图、解释含糊</w:t>
            </w:r>
          </w:p>
        </w:tc>
        <w:tc>
          <w:tcPr>
            <w:tcW w:type="dxa" w:w="3421"/>
          </w:tcPr>
          <w:p>
            <w:r>
              <w:rPr>
                <w:sz w:val="21"/>
              </w:rPr>
              <w:t>分两行 (0.9, 0.999) vs (0, 0.99) 对照</w:t>
            </w:r>
          </w:p>
        </w:tc>
      </w:tr>
    </w:tbl>
    <w:p>
      <w:pPr>
        <w:pStyle w:val="1"/>
      </w:pPr>
      <w:r>
        <w:t>7  总结</w:t>
      </w:r>
    </w:p>
    <w:p>
      <w:pPr>
        <w:pStyle w:val="a0"/>
      </w:pPr>
      <w:r>
        <w:t>(1) 统一模板 x_{k+1} = x_k − P_k g_k 把 GD（Richardson）、Heavy-ball（谱加速）、Adam（动态 Jacobi）、Sophia（对角 Hess）、Muon（极分解）放在同一数值迭代框架下；不同 P_k 对应不同的古典数值方法。</w:t>
      </w:r>
    </w:p>
    <w:p>
      <w:pPr>
        <w:pStyle w:val="a0"/>
      </w:pPr>
      <w:r>
        <w:t>(2) 谱半径分析精确预测二次问题上收敛率：GD ρ* = (κ−1)/(κ+1)、Polyak HB ρ* = (√κ−1)/(√κ+1)；实验 6 经验拟合 vs 理论在 κ=1000 时相对误差 0.1%。</w:t>
      </w:r>
    </w:p>
    <w:p>
      <w:pPr>
        <w:pStyle w:val="a0"/>
      </w:pPr>
      <w:r>
        <w:t>(3) HB ≡ Chebyshev 半迭代（定理 4 + 实验 25）：两者差距 1.14×10⁻¹³，把课内 CG/Chebyshev 与现代动量法直接挂钩——本文最看重的新结果。</w:t>
      </w:r>
    </w:p>
    <w:p>
      <w:pPr>
        <w:pStyle w:val="a0"/>
      </w:pPr>
      <w:r>
        <w:t>(4) Newton–Schulz 局部二次收敛由 E_{k+1} = −E_k²(3I−E_k)/4 完整证明，收敛盆 (0, √3) 由实验 30 在 100 个初值上直接观察——11 个 σ₀ &gt; √3 全部发散。</w:t>
      </w:r>
    </w:p>
    <w:p>
      <w:pPr>
        <w:pStyle w:val="a0"/>
      </w:pPr>
      <w:r>
        <w:t>(5) Muon 的真本质是谱范数 trust-region 最速下降（定理 7：von Neumann 迹不等式取等）；实验 28 在 5 个种子上一致严格下降；Frob 损失上不下降反而符合定理预言。</w:t>
      </w:r>
    </w:p>
    <w:p>
      <w:pPr>
        <w:pStyle w:val="a0"/>
      </w:pPr>
      <w:r>
        <w:t>(6) Adam 2-极限环（实验 26）复现 Bock–Weiß 2022：即使最简凸函数 Adam 也可能不收敛。</w:t>
      </w:r>
    </w:p>
    <w:p>
      <w:pPr>
        <w:pStyle w:val="a0"/>
      </w:pPr>
      <w:r>
        <w:t>(7) NAG ≅ AVD-ODE 离散（实验 29）：连续时间 t = √η k 下三者轨迹重合，“优化算法 = ODE 离散化”是可看到的事实。</w:t>
      </w:r>
    </w:p>
    <w:p>
      <w:pPr>
        <w:pStyle w:val="a0"/>
      </w:pPr>
      <w:r>
        <w:t>不足：未做神经网络实验（需 GPU 集群，超 8 周课程范围）；未完整复现 arXiv 2506.10935 的 Remez 最优 NS 系数；AMSGrad 与 Adam 极限环未做精确对照实验。</w:t>
      </w:r>
    </w:p>
    <w:p>
      <w:pPr>
        <w:pStyle w:val="1"/>
      </w:pPr>
      <w:r>
        <w:t>参考文献</w:t>
      </w:r>
    </w:p>
    <w:p>
      <w:pPr>
        <w:pStyle w:val="a0"/>
      </w:pPr>
      <w:r>
        <w:t>[1] Kingma, D. P., Ba, J. Adam: A Method for Stochastic Optimization. ICLR, 2015.</w:t>
      </w:r>
    </w:p>
    <w:p>
      <w:pPr>
        <w:pStyle w:val="a0"/>
      </w:pPr>
      <w:r>
        <w:t>[2] Loshchilov, I., Hutter, F. Decoupled Weight Decay Regularization. ICLR, 2019.</w:t>
      </w:r>
    </w:p>
    <w:p>
      <w:pPr>
        <w:pStyle w:val="a0"/>
      </w:pPr>
      <w:r>
        <w:t>[3] Liu, H., et al. Sophia: A Scalable Stochastic Second-order Optimizer. ICLR, 2023.</w:t>
      </w:r>
    </w:p>
    <w:p>
      <w:pPr>
        <w:pStyle w:val="a0"/>
      </w:pPr>
      <w:r>
        <w:t>[4] Jordan, K., et al. Muon: An Optimizer for Hidden Layers in Neural Networks. GitHub, 2024.</w:t>
      </w:r>
    </w:p>
    <w:p>
      <w:pPr>
        <w:pStyle w:val="a0"/>
      </w:pPr>
      <w:r>
        <w:t>[5] Liu, J., et al. Muon is Scalable for LLM Training. arXiv:2502.16982, 2025.</w:t>
      </w:r>
    </w:p>
    <w:p>
      <w:pPr>
        <w:pStyle w:val="a0"/>
      </w:pPr>
      <w:r>
        <w:t>[6] Polyak, B. T. Some Methods of Speeding up the Convergence of Iteration Methods. USSR Comput. Math. and Math. Phys., 1964, 4(5): 1–17.</w:t>
      </w:r>
    </w:p>
    <w:p>
      <w:pPr>
        <w:pStyle w:val="a0"/>
      </w:pPr>
      <w:r>
        <w:t>[7] Reddi, S. J., et al. On the Convergence of Adam and Beyond. ICLR, 2018.</w:t>
      </w:r>
    </w:p>
    <w:p>
      <w:pPr>
        <w:pStyle w:val="a0"/>
      </w:pPr>
      <w:r>
        <w:t>[8] Bock, S., Weiß, M. Non-Convergence and Limit Cycles in the Adam Optimizer. arXiv:2210.02070, 2022.</w:t>
      </w:r>
    </w:p>
    <w:p>
      <w:pPr>
        <w:pStyle w:val="a0"/>
      </w:pPr>
      <w:r>
        <w:t>[9] Dereich, S., Jentzen, A. Convergence Rates for the Adam Optimizer. arXiv:2407.21078, 2024.</w:t>
      </w:r>
    </w:p>
    <w:p>
      <w:pPr>
        <w:pStyle w:val="a0"/>
      </w:pPr>
      <w:r>
        <w:t>[10] Kovalev, D. Understanding Gradient Orthogonalization for Deep Learning via Non-Euclidean Trust-Region Optimization. arXiv:2503.12645, 2025.</w:t>
      </w:r>
    </w:p>
    <w:p>
      <w:pPr>
        <w:pStyle w:val="a0"/>
      </w:pPr>
      <w:r>
        <w:t>[11] Schulz, G. Iterative Berechnung der reziproken Matrix. ZAMM, 1933, 13: 57–59.</w:t>
      </w:r>
    </w:p>
    <w:p>
      <w:pPr>
        <w:pStyle w:val="a0"/>
      </w:pPr>
      <w:r>
        <w:t>[12] Higham, N. J. Functions of Matrices: Theory and Computation. SIAM, 2008.</w:t>
      </w:r>
    </w:p>
    <w:p>
      <w:pPr>
        <w:pStyle w:val="a0"/>
      </w:pPr>
      <w:r>
        <w:t>[13] Nakatsukasa, Y., Higham, N. J. Stable and Efficient Spectral Divide-and-Conquer Algorithms. SIAM J. Sci. Comput., 2013, 35(3): A1325–A1349.</w:t>
      </w:r>
    </w:p>
    <w:p>
      <w:pPr>
        <w:pStyle w:val="a0"/>
      </w:pPr>
      <w:r>
        <w:t>[14] Anonymous. Accelerating Newton-Schulz via Chebyshev Polynomials. arXiv:2506.10935, 2025.</w:t>
      </w:r>
    </w:p>
    <w:p>
      <w:pPr>
        <w:pStyle w:val="a0"/>
      </w:pPr>
      <w:r>
        <w:t>[15] Su, W., Boyd, S., Candès, E. J. A Differential Equation for Modeling Nesterov's Accelerated Gradient Method. JMLR, 2016, 17: 1–43.</w:t>
      </w:r>
    </w:p>
    <w:p>
      <w:pPr>
        <w:pStyle w:val="a0"/>
      </w:pPr>
      <w:r>
        <w:t>[16] Wibisono, A., Wilson, A. C., Jordan, M. I. A Variational Perspective on Accelerated Methods in Optimization. PNAS, 2016, 113: E7351–E7358.</w:t>
      </w:r>
    </w:p>
    <w:p>
      <w:pPr>
        <w:pStyle w:val="a0"/>
      </w:pPr>
      <w:r>
        <w:t>[17] Shi, B., Du, S. S., Jordan, M. I., Su, W. J. Understanding the Acceleration Phenomenon via High-Resolution Differential Equations. Mathematical Programming, 2021, 195: 79–148.</w:t>
      </w:r>
    </w:p>
    <w:p>
      <w:pPr>
        <w:pStyle w:val="a0"/>
      </w:pPr>
      <w:r>
        <w:t>[18] Saad, Y. Iterative Methods for Sparse Linear Systems (2nd ed.). SIAM, 2003.</w:t>
      </w:r>
    </w:p>
    <w:p>
      <w:pPr>
        <w:pStyle w:val="a0"/>
      </w:pPr>
      <w:r>
        <w:t>[19] Trefethen, L. N., Bau, D. Numerical Linear Algebra. SIAM, 1997.</w:t>
      </w:r>
    </w:p>
    <w:p>
      <w:pPr>
        <w:pStyle w:val="a0"/>
      </w:pPr>
      <w:r>
        <w:t>[20] Wathen, A. J. Preconditioning. Acta Numerica, 2015, 24: 329–376.</w:t>
      </w:r>
    </w:p>
    <w:p>
      <w:pPr>
        <w:pStyle w:val="a0"/>
      </w:pPr>
      <w:r>
        <w:t>[21] Nocedal, J., Wright, S. J. Numerical Optimization (2nd ed.). Springer, 2006.</w:t>
      </w:r>
    </w:p>
    <w:p>
      <w:pPr>
        <w:pStyle w:val="a0"/>
      </w:pPr>
      <w:r>
        <w:t>[22] Hairer, E., Nørsett, S. P., Wanner, G. Solving Ordinary Differential Equations I. Springer, 1993.</w:t>
      </w:r>
    </w:p>
    <w:p>
      <w:pPr>
        <w:pStyle w:val="1"/>
      </w:pPr>
      <w:r>
        <w:t>附录 A  代码与 P_k 对照</w:t>
      </w:r>
    </w:p>
    <w:p>
      <w:pPr>
        <w:pStyle w:val="af3"/>
        <w:jc w:val="center"/>
      </w:pPr>
      <w:r>
        <w:t>表 A1  代码模块清单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131"/>
        <w:gridCol w:w="5131"/>
      </w:tblGrid>
      <w:tr>
        <w:tc>
          <w:tcPr>
            <w:tcW w:type="dxa" w:w="5131"/>
          </w:tcPr>
          <w:p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5131"/>
          </w:tcPr>
          <w:p>
            <w:r>
              <w:rPr>
                <w:b/>
                <w:sz w:val="21"/>
              </w:rPr>
              <w:t>内容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src/quadratic.py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病态二次构造、目标、梯度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src/optimizers.py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gd / momentum / nesterov / adam / adamw / sophia / jacobi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src/momentum_spectrum.py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Polyak 谱半径计算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src/newton_schulz.py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NS 3 阶 + 5 阶 Higham + 胖矩阵分支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src/chebyshev.py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Chebyshev 半迭代 + minimax 误差多项式 + HB-Polyak 形式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src/spectral_trust_region.py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谱范数恢复 + Muon/GD/Adam 对照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src/adam_limit_cycle.py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标量 Adam 迭代 + 2-极限环检测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src/ode_integrators.py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梯度流 / HB-ODE / AVD-ODE / 高分辨率 NAG-ODE 的 RK4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src/pcg.py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CG / PCG + Jacobi + CG 理论上界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src/matrix_quadratic.py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矩阵二次 + Muon-NS 接口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experiments/run_all.py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实验 1–10 + 入口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experiments/extended_experiments.py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实验 11–30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experiments/config.py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全局超参</w:t>
            </w:r>
          </w:p>
        </w:tc>
      </w:tr>
      <w:tr>
        <w:tc>
          <w:tcPr>
            <w:tcW w:type="dxa" w:w="5131"/>
          </w:tcPr>
          <w:p>
            <w:r>
              <w:rPr>
                <w:sz w:val="21"/>
              </w:rPr>
              <w:t>tests/test_*.py</w:t>
            </w:r>
          </w:p>
        </w:tc>
        <w:tc>
          <w:tcPr>
            <w:tcW w:type="dxa" w:w="5131"/>
          </w:tcPr>
          <w:p>
            <w:r>
              <w:rPr>
                <w:sz w:val="21"/>
              </w:rPr>
              <w:t>14 项 pytest 回归测试</w:t>
            </w:r>
          </w:p>
        </w:tc>
      </w:tr>
    </w:tbl>
    <w:p>
      <w:pPr>
        <w:pStyle w:val="1"/>
      </w:pPr>
      <w:r>
        <w:t>附录 B  完整证明（节选）</w:t>
      </w:r>
    </w:p>
    <w:p>
      <w:pPr>
        <w:pStyle w:val="2"/>
      </w:pPr>
      <w:r>
        <w:t>B.1  定理 4 证明（HB ≡ Chebyshev 半迭代）</w:t>
      </w:r>
    </w:p>
    <w:p>
      <w:pPr>
        <w:pStyle w:val="a0"/>
      </w:pPr>
      <w:r>
        <w:t>Chebyshev 半迭代第 k 步：x_{k+1} = ω_{k+1} (r_k/d + x_k − x_{k−1}) + x_{k−1}，ω_{k+1} = 1/(1 − σ² ω_k/4)、σ = (L−μ)/(L+μ)、d = (L+μ)/2。令 ω_k → ω_∞，则 σ² ω_∞² − 4 ω_∞ + 4 = 0，解 ω_∞ = 2/(1 + √(1 − σ²))。</w:t>
      </w:r>
    </w:p>
    <w:p>
      <w:pPr>
        <w:pStyle w:val="a0"/>
      </w:pPr>
      <w:r>
        <w:t>代入：x_{k+1} − x_k = (ω_∞/d) r_k + (ω_∞ − 1)(x_k − x_{k−1})，记 η_∞ = ω_∞/d、β_∞ = ω_∞ − 1，则 x_{k+1} = x_k − η_∞ (A x_k − b) + β_∞ (x_k − x_{k−1})，恰是 Heavy-ball 形式。</w:t>
      </w:r>
    </w:p>
    <w:p>
      <w:pPr>
        <w:pStyle w:val="a0"/>
      </w:pPr>
      <w:r>
        <w:t>验证 η_∞ = η*、β_∞ = β*：1 − σ² = 4 L μ/(L + μ)²，故 √(1 − σ²) = 2√(L μ)/(L + μ)，ω_∞ = 2(L + μ)/(√L + √μ)²；η_∞ = ω_∞/d = 4/(√L + √μ)² = η*；β_∞ = ω_∞ − 1 = (√L − √μ)²/(√L + √μ)² = β*。故 Chebyshev 半迭代在 k → ∞ 退化为 Polyak 最优 Heavy-ball，证毕。□</w:t>
      </w:r>
    </w:p>
    <w:p>
      <w:pPr>
        <w:pStyle w:val="2"/>
      </w:pPr>
      <w:r>
        <w:t>B.2  定理 7 证明（极分解 trust-region 最优性）</w:t>
      </w:r>
    </w:p>
    <w:p>
      <w:pPr>
        <w:pStyle w:val="a0"/>
      </w:pPr>
      <w:r>
        <w:t>设 Δ = Ũ Σ̃ Ṽᵀ，σ_max(Δ) ≤ t。由 von Neumann 迹不等式 |tr(Δᵀ G)| ≤ Σ_i σ_i(Δ) σ_i(G) ≤ t · ‖G‖_*，等号在 Ũ = U、Ṽ = V、Σ̃ = t I_r 时取到，故 argmin = −t U Vᵀ。□</w:t>
      </w:r>
    </w:p>
    <w:p>
      <w:pPr>
        <w:pStyle w:val="1"/>
      </w:pPr>
      <w:r>
        <w:t>附录 C  超参与复现说明</w:t>
      </w:r>
    </w:p>
    <w:p>
      <w:pPr>
        <w:pStyle w:val="a0"/>
      </w:pPr>
      <w:r>
        <w:t>全局超参在 experiments/config.py：DIM = 20、CONDITION_NUMBERS = [10, 100, 1000]、MAX_ITER = 2000、TOL = 10⁻⁶、SEED = 42、SEEDS = [0, 1, 2, 42, 123]、ADAM_LR = 0.1、ADAM_LR_PRECOND_STUDY = 0.5、ADAM_LR_2D = 0.3、SGD_NOISE_SIGMA = 0.01。一键复现：bash scripts/check_repro.sh —— pytest（14 项）+ run_all.py（约 30 秒）+ generate_appendix_tables.py（自动生成附录数据表）。</w:t>
      </w:r>
    </w:p>
    <w:sectPr w:rsidR="00A540D5" w:rsidRPr="00F97DC5" w:rsidSect="00AF5DF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footnotePr>
        <w:numRestart w:val="eachPage"/>
      </w:footnotePr>
      <w:pgSz w:w="11907" w:h="16840" w:code="9"/>
      <w:pgMar w:top="567" w:right="822" w:bottom="1247" w:left="822" w:header="737" w:footer="567" w:gutter="0"/>
      <w:pgNumType w:start="1"/>
      <w:cols w:space="425"/>
      <w:titlePg/>
      <w:docGrid w:linePitch="285" w:charSpace="122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1B7B" w:rsidRDefault="00191B7B">
      <w:r>
        <w:separator/>
      </w:r>
    </w:p>
  </w:endnote>
  <w:endnote w:type="continuationSeparator" w:id="0">
    <w:p w:rsidR="00191B7B" w:rsidRDefault="00191B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·s²Ó©úÅé">
    <w:altName w:val="Malgun Gothic Semilight"/>
    <w:charset w:val="88"/>
    <w:family w:val="auto"/>
    <w:pitch w:val="variable"/>
    <w:sig w:usb0="00000001" w:usb1="08080000" w:usb2="00000010" w:usb3="00000000" w:csb0="00100000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6BE6" w:rsidRDefault="00C46BE6">
    <w:pPr>
      <w:pStyle w:val="a4"/>
      <w:framePr w:wrap="around" w:vAnchor="text" w:hAnchor="margin" w:xAlign="right" w:y="1"/>
    </w:pPr>
  </w:p>
  <w:p w:rsidR="00C46BE6" w:rsidRDefault="00C46BE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6BE6" w:rsidRDefault="00C46BE6">
    <w:pPr>
      <w:pStyle w:val="a4"/>
      <w:framePr w:wrap="around" w:vAnchor="text" w:hAnchor="margin" w:xAlign="right" w:y="1"/>
    </w:pPr>
  </w:p>
  <w:p w:rsidR="00C46BE6" w:rsidRDefault="00C46BE6">
    <w:pPr>
      <w:pStyle w:val="a4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6BE6" w:rsidRDefault="00C46BE6">
    <w:pPr>
      <w:pStyle w:val="a4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1B7B" w:rsidRDefault="00191B7B">
      <w:r>
        <w:separator/>
      </w:r>
    </w:p>
  </w:footnote>
  <w:footnote w:type="continuationSeparator" w:id="0">
    <w:p w:rsidR="00191B7B" w:rsidRDefault="00191B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6BE6" w:rsidRDefault="00C46BE6">
    <w:pPr>
      <w:framePr w:h="227" w:hSpace="181" w:wrap="around" w:vAnchor="text" w:hAnchor="text" w:y="-56"/>
      <w:tabs>
        <w:tab w:val="left" w:pos="170"/>
      </w:tabs>
      <w:ind w:left="170"/>
      <w:jc w:val="left"/>
    </w:pPr>
    <w:r>
      <w:fldChar w:fldCharType="begin"/>
    </w:r>
    <w:r>
      <w:instrText xml:space="preserve"> PAGE </w:instrText>
    </w:r>
    <w:r>
      <w:fldChar w:fldCharType="separate"/>
    </w:r>
    <w:r w:rsidR="00FC63A8">
      <w:rPr>
        <w:noProof/>
      </w:rPr>
      <w:t>2</w:t>
    </w:r>
    <w:r>
      <w:fldChar w:fldCharType="end"/>
    </w:r>
  </w:p>
  <w:p w:rsidR="00C46BE6" w:rsidRDefault="00C46BE6">
    <w:pPr>
      <w:framePr w:w="3969" w:h="227" w:hSpace="181" w:wrap="around" w:vAnchor="text" w:hAnchor="text" w:xAlign="right" w:y="-61"/>
      <w:tabs>
        <w:tab w:val="left" w:pos="170"/>
      </w:tabs>
      <w:wordWrap w:val="0"/>
      <w:jc w:val="right"/>
    </w:pPr>
    <w:r>
      <w:t>   </w:t>
    </w:r>
  </w:p>
  <w:p w:rsidR="00C46BE6" w:rsidRDefault="00C46BE6">
    <w:pPr>
      <w:pStyle w:val="a5"/>
      <w:tabs>
        <w:tab w:val="center" w:pos="-2184"/>
      </w:tabs>
      <w:spacing w:after="22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6BE6" w:rsidRDefault="00C46BE6">
    <w:pPr>
      <w:pStyle w:val="a5"/>
      <w:framePr w:w="6503" w:h="227" w:hSpace="181" w:wrap="around" w:vAnchor="text" w:hAnchor="text" w:x="171" w:y="-56"/>
      <w:pBdr>
        <w:bottom w:val="none" w:sz="0" w:space="0" w:color="auto"/>
      </w:pBdr>
      <w:tabs>
        <w:tab w:val="right" w:pos="7632"/>
      </w:tabs>
      <w:snapToGrid/>
      <w:jc w:val="left"/>
      <w:rPr>
        <w:rFonts w:eastAsia="楷体_GB2312"/>
      </w:rPr>
    </w:pPr>
    <w:r>
      <w:rPr>
        <w:rFonts w:eastAsia="楷体_GB2312" w:hint="eastAsia"/>
      </w:rPr>
      <w:t>作者名</w:t>
    </w:r>
    <w:r>
      <w:rPr>
        <w:rFonts w:eastAsia="楷体_GB2312" w:hint="eastAsia"/>
      </w:rPr>
      <w:t xml:space="preserve"> </w:t>
    </w:r>
    <w:r>
      <w:rPr>
        <w:rFonts w:eastAsia="楷体_GB2312" w:hint="eastAsia"/>
      </w:rPr>
      <w:t>等</w:t>
    </w:r>
    <w:r>
      <w:rPr>
        <w:rFonts w:eastAsia="楷体_GB2312"/>
      </w:rPr>
      <w:t>:</w:t>
    </w:r>
    <w:r>
      <w:rPr>
        <w:rFonts w:eastAsia="楷体_GB2312" w:hint="eastAsia"/>
      </w:rPr>
      <w:t>题目</w:t>
    </w:r>
  </w:p>
  <w:p w:rsidR="00C46BE6" w:rsidRDefault="00C46BE6">
    <w:pPr>
      <w:framePr w:h="227" w:hSpace="181" w:wrap="around" w:vAnchor="text" w:hAnchor="text" w:xAlign="right" w:y="-56"/>
      <w:tabs>
        <w:tab w:val="left" w:pos="170"/>
      </w:tabs>
      <w:ind w:right="170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</w:t>
    </w:r>
    <w:r>
      <w:fldChar w:fldCharType="end"/>
    </w:r>
  </w:p>
  <w:p w:rsidR="00C46BE6" w:rsidRDefault="00C46BE6">
    <w:pPr>
      <w:pStyle w:val="a5"/>
      <w:tabs>
        <w:tab w:val="right" w:pos="7632"/>
      </w:tabs>
      <w:spacing w:after="220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6BE6" w:rsidRDefault="00C46BE6">
    <w:pPr>
      <w:framePr w:w="1276" w:h="425" w:hSpace="181" w:wrap="around" w:vAnchor="text" w:hAnchor="text" w:xAlign="right" w:y="-22"/>
      <w:wordWrap w:val="0"/>
      <w:jc w:val="right"/>
    </w:pPr>
  </w:p>
  <w:p w:rsidR="00C46BE6" w:rsidRDefault="0051488C">
    <w:pPr>
      <w:pStyle w:val="a9"/>
    </w:pPr>
    <w:r>
      <w:rPr>
        <w:rFonts w:hint="eastAsia"/>
      </w:rPr>
      <w:t>“</w:t>
    </w:r>
    <w:r w:rsidR="00DE4EBC">
      <w:rPr>
        <w:rFonts w:hint="eastAsia"/>
      </w:rPr>
      <w:t>数值分析</w:t>
    </w:r>
    <w:r>
      <w:rPr>
        <w:rFonts w:hint="eastAsia"/>
      </w:rPr>
      <w:t>”</w:t>
    </w:r>
    <w:r w:rsidR="00767B18">
      <w:rPr>
        <w:rFonts w:hint="eastAsia"/>
      </w:rPr>
      <w:t>期末</w:t>
    </w:r>
    <w:r w:rsidR="00D50B48">
      <w:rPr>
        <w:rFonts w:hint="eastAsia"/>
      </w:rPr>
      <w:t>项目</w:t>
    </w:r>
    <w:r w:rsidR="00D50B48">
      <w:t>总结</w:t>
    </w:r>
    <w:r>
      <w:rPr>
        <w:rFonts w:hint="eastAsia"/>
      </w:rPr>
      <w:t>报告（</w:t>
    </w:r>
    <w:r>
      <w:rPr>
        <w:rFonts w:hint="eastAsia"/>
      </w:rPr>
      <w:t>20</w:t>
    </w:r>
    <w:r w:rsidR="0016681D">
      <w:t>2</w:t>
    </w:r>
    <w:r w:rsidR="00FC63A8">
      <w:t>5</w:t>
    </w:r>
    <w:r>
      <w:rPr>
        <w:rFonts w:hint="eastAsia"/>
      </w:rPr>
      <w:t>年</w:t>
    </w:r>
    <w:r w:rsidR="00DE4EBC">
      <w:rPr>
        <w:rFonts w:hint="eastAsia"/>
      </w:rPr>
      <w:t>春</w:t>
    </w:r>
    <w:r>
      <w:rPr>
        <w:rFonts w:hint="eastAsia"/>
      </w:rPr>
      <w:t>季学期）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5451BA"/>
    <w:multiLevelType w:val="multilevel"/>
    <w:tmpl w:val="B81C920E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b/>
        <w:i w:val="0"/>
        <w:sz w:val="21"/>
      </w:rPr>
    </w:lvl>
    <w:lvl w:ilvl="1">
      <w:start w:val="1"/>
      <w:numFmt w:val="decimal"/>
      <w:lvlText w:val="%1.%2  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2">
      <w:start w:val="1"/>
      <w:numFmt w:val="decimal"/>
      <w:pStyle w:val="3"/>
      <w:lvlText w:val="%1.%2.%3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 w:val="0"/>
        <w:i w:val="0"/>
        <w:sz w:val="18"/>
      </w:rPr>
    </w:lvl>
    <w:lvl w:ilvl="3">
      <w:start w:val="1"/>
      <w:numFmt w:val="decimal"/>
      <w:lvlText w:val="%1.%2.%3.%4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4BBC2CA8"/>
    <w:multiLevelType w:val="multilevel"/>
    <w:tmpl w:val="9BA20DAC"/>
    <w:lvl w:ilvl="0">
      <w:start w:val="1"/>
      <w:numFmt w:val="upperLetter"/>
      <w:pStyle w:val="1"/>
      <w:lvlText w:val="%1．"/>
      <w:lvlJc w:val="left"/>
      <w:pPr>
        <w:tabs>
          <w:tab w:val="num" w:pos="360"/>
        </w:tabs>
        <w:ind w:left="0" w:firstLine="0"/>
      </w:pPr>
      <w:rPr>
        <w:rFonts w:ascii="Times New Roman" w:eastAsia="黑体" w:hAnsi="Times New Roman" w:cs="Times New Roman"/>
        <w:b/>
        <w:i w:val="0"/>
        <w:sz w:val="21"/>
      </w:rPr>
    </w:lvl>
    <w:lvl w:ilvl="1">
      <w:start w:val="1"/>
      <w:numFmt w:val="decimal"/>
      <w:pStyle w:val="2"/>
      <w:lvlText w:val="%1.%2  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2">
      <w:start w:val="1"/>
      <w:numFmt w:val="decimal"/>
      <w:lvlText w:val="%1.%2.%3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 w:val="0"/>
        <w:i w:val="0"/>
        <w:sz w:val="18"/>
      </w:rPr>
    </w:lvl>
    <w:lvl w:ilvl="3">
      <w:start w:val="1"/>
      <w:numFmt w:val="decimal"/>
      <w:pStyle w:val="4"/>
      <w:lvlText w:val="%1.%2.%3.%4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2" w15:restartNumberingAfterBreak="0">
    <w:nsid w:val="612B6CE2"/>
    <w:multiLevelType w:val="hybridMultilevel"/>
    <w:tmpl w:val="DF08B7F8"/>
    <w:lvl w:ilvl="0" w:tplc="17AEC340">
      <w:start w:val="1"/>
      <w:numFmt w:val="decimal"/>
      <w:pStyle w:val="TextofReference"/>
      <w:lvlText w:val="[%1]  "/>
      <w:lvlJc w:val="right"/>
      <w:pPr>
        <w:tabs>
          <w:tab w:val="num" w:pos="419"/>
        </w:tabs>
        <w:ind w:left="419" w:hanging="79"/>
      </w:pPr>
      <w:rPr>
        <w:rFonts w:ascii="Times New Roman" w:eastAsia="宋体" w:hAnsi="Times New Roman" w:hint="default"/>
        <w:b w:val="0"/>
        <w:i w:val="0"/>
        <w:sz w:val="15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631B5AE9"/>
    <w:multiLevelType w:val="hybridMultilevel"/>
    <w:tmpl w:val="ED12547A"/>
    <w:lvl w:ilvl="0" w:tplc="6DD859DE">
      <w:start w:val="1"/>
      <w:numFmt w:val="decimal"/>
      <w:pStyle w:val="TextofReference1"/>
      <w:lvlText w:val="[%1]  "/>
      <w:lvlJc w:val="right"/>
      <w:pPr>
        <w:tabs>
          <w:tab w:val="num" w:pos="418"/>
        </w:tabs>
        <w:ind w:left="418" w:hanging="21"/>
      </w:pPr>
      <w:rPr>
        <w:rFonts w:ascii="Times New Roman" w:eastAsia="宋体" w:hAnsi="Times New Roman" w:hint="default"/>
        <w:b w:val="0"/>
        <w:i w:val="0"/>
        <w:sz w:val="15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mirrorMargins/>
  <w:bordersDoNotSurroundHeader/>
  <w:bordersDoNotSurroundFooter/>
  <w:activeWritingStyle w:appName="MSWord" w:lang="en-US" w:vendorID="64" w:dllVersion="5" w:nlCheck="1" w:checkStyle="1"/>
  <w:activeWritingStyle w:appName="MSWord" w:lang="zh-CN" w:vendorID="64" w:dllVersion="5" w:nlCheck="1" w:checkStyle="1"/>
  <w:activeWritingStyle w:appName="MSWord" w:lang="en-US" w:vendorID="64" w:dllVersion="6" w:nlCheck="1" w:checkStyle="1"/>
  <w:activeWritingStyle w:appName="MSWord" w:lang="zh-CN" w:vendorID="64" w:dllVersion="0" w:nlCheck="1" w:checkStyle="1"/>
  <w:activeWritingStyle w:appName="MSWord" w:lang="zh-CN" w:vendorID="64" w:dllVersion="131077" w:nlCheck="1" w:checkStyle="1"/>
  <w:proofState w:spelling="clean" w:grammar="clean"/>
  <w:defaultTabStop w:val="420"/>
  <w:evenAndOddHeaders/>
  <w:drawingGridHorizontalSpacing w:val="93"/>
  <w:drawingGridVerticalSpacing w:val="285"/>
  <w:displayHorizontalDrawingGridEvery w:val="0"/>
  <w:characterSpacingControl w:val="compressPunctuation"/>
  <w:hdrShapeDefaults>
    <o:shapedefaults v:ext="edit" spidmax="2049"/>
  </w:hdrShapeDefaults>
  <w:footnotePr>
    <w:numRestart w:val="eachPage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88C"/>
    <w:rsid w:val="000473A5"/>
    <w:rsid w:val="00136F60"/>
    <w:rsid w:val="0016681D"/>
    <w:rsid w:val="00177966"/>
    <w:rsid w:val="00191B7B"/>
    <w:rsid w:val="001D470E"/>
    <w:rsid w:val="00220C5C"/>
    <w:rsid w:val="00221C32"/>
    <w:rsid w:val="00245BE4"/>
    <w:rsid w:val="0026008B"/>
    <w:rsid w:val="00260651"/>
    <w:rsid w:val="00266A43"/>
    <w:rsid w:val="002877F0"/>
    <w:rsid w:val="002C2D99"/>
    <w:rsid w:val="00366089"/>
    <w:rsid w:val="004235F8"/>
    <w:rsid w:val="0051488C"/>
    <w:rsid w:val="00584693"/>
    <w:rsid w:val="005C0125"/>
    <w:rsid w:val="006947F8"/>
    <w:rsid w:val="00752DD2"/>
    <w:rsid w:val="00767B18"/>
    <w:rsid w:val="00807109"/>
    <w:rsid w:val="00963950"/>
    <w:rsid w:val="00A540D5"/>
    <w:rsid w:val="00AF5DF7"/>
    <w:rsid w:val="00BE168F"/>
    <w:rsid w:val="00C46BE6"/>
    <w:rsid w:val="00D50B48"/>
    <w:rsid w:val="00DA17CD"/>
    <w:rsid w:val="00DE4EBC"/>
    <w:rsid w:val="00EA005B"/>
    <w:rsid w:val="00EC08EC"/>
    <w:rsid w:val="00F35F8B"/>
    <w:rsid w:val="00F97DC5"/>
    <w:rsid w:val="00FC6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7FF02BE"/>
  <w15:chartTrackingRefBased/>
  <w15:docId w15:val="{98A3D276-A443-4B51-9063-2F42BDC07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overflowPunct w:val="0"/>
      <w:jc w:val="both"/>
    </w:pPr>
    <w:rPr>
      <w:kern w:val="2"/>
      <w:sz w:val="18"/>
    </w:rPr>
  </w:style>
  <w:style w:type="paragraph" w:styleId="1">
    <w:name w:val="heading 1"/>
    <w:basedOn w:val="a"/>
    <w:next w:val="a0"/>
    <w:qFormat/>
    <w:pPr>
      <w:keepNext/>
      <w:keepLines/>
      <w:numPr>
        <w:numId w:val="1"/>
      </w:numPr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/>
      <w:kern w:val="0"/>
      <w:sz w:val="21"/>
    </w:rPr>
  </w:style>
  <w:style w:type="paragraph" w:styleId="2">
    <w:name w:val="heading 2"/>
    <w:basedOn w:val="a"/>
    <w:next w:val="a0"/>
    <w:qFormat/>
    <w:pPr>
      <w:keepNext/>
      <w:keepLines/>
      <w:numPr>
        <w:ilvl w:val="1"/>
        <w:numId w:val="1"/>
      </w:numPr>
      <w:tabs>
        <w:tab w:val="left" w:pos="414"/>
      </w:tabs>
      <w:autoSpaceDE w:val="0"/>
      <w:autoSpaceDN w:val="0"/>
      <w:adjustRightInd w:val="0"/>
      <w:spacing w:beforeLines="25" w:before="25" w:afterLines="25" w:after="25"/>
      <w:jc w:val="left"/>
      <w:textAlignment w:val="baseline"/>
      <w:outlineLvl w:val="1"/>
    </w:pPr>
    <w:rPr>
      <w:rFonts w:eastAsia="黑体"/>
      <w:kern w:val="0"/>
    </w:rPr>
  </w:style>
  <w:style w:type="paragraph" w:styleId="3">
    <w:name w:val="heading 3"/>
    <w:basedOn w:val="a"/>
    <w:next w:val="a0"/>
    <w:autoRedefine/>
    <w:qFormat/>
    <w:rsid w:val="00EA005B"/>
    <w:pPr>
      <w:keepNext/>
      <w:keepLines/>
      <w:numPr>
        <w:ilvl w:val="2"/>
        <w:numId w:val="5"/>
      </w:numPr>
      <w:tabs>
        <w:tab w:val="left" w:pos="561"/>
      </w:tabs>
      <w:jc w:val="left"/>
      <w:outlineLvl w:val="2"/>
    </w:pPr>
    <w:rPr>
      <w:sz w:val="20"/>
    </w:rPr>
  </w:style>
  <w:style w:type="paragraph" w:styleId="4">
    <w:name w:val="heading 4"/>
    <w:basedOn w:val="a"/>
    <w:next w:val="a"/>
    <w:qFormat/>
    <w:pPr>
      <w:keepNext/>
      <w:keepLines/>
      <w:numPr>
        <w:ilvl w:val="3"/>
        <w:numId w:val="1"/>
      </w:numPr>
      <w:jc w:val="left"/>
      <w:outlineLvl w:val="3"/>
    </w:pPr>
    <w:rPr>
      <w:rFonts w:ascii="Arial" w:eastAsia="黑体" w:hAnsi="Arial"/>
    </w:rPr>
  </w:style>
  <w:style w:type="paragraph" w:styleId="5">
    <w:name w:val="heading 5"/>
    <w:basedOn w:val="a"/>
    <w:next w:val="a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sz w:val="28"/>
    </w:rPr>
  </w:style>
  <w:style w:type="paragraph" w:styleId="6">
    <w:name w:val="heading 6"/>
    <w:basedOn w:val="a"/>
    <w:next w:val="a"/>
    <w:qFormat/>
    <w:pPr>
      <w:keepNext/>
      <w:keepLines/>
      <w:numPr>
        <w:ilvl w:val="5"/>
        <w:numId w:val="1"/>
      </w:numPr>
      <w:spacing w:before="240" w:after="64"/>
      <w:jc w:val="left"/>
      <w:outlineLvl w:val="5"/>
    </w:pPr>
  </w:style>
  <w:style w:type="paragraph" w:styleId="7">
    <w:name w:val="heading 7"/>
    <w:basedOn w:val="a"/>
    <w:next w:val="a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sz w:val="24"/>
    </w:rPr>
  </w:style>
  <w:style w:type="paragraph" w:styleId="8">
    <w:name w:val="heading 8"/>
    <w:basedOn w:val="a"/>
    <w:next w:val="a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semiHidden/>
    <w:pPr>
      <w:tabs>
        <w:tab w:val="left" w:pos="357"/>
      </w:tabs>
      <w:ind w:firstLineChars="200" w:firstLine="200"/>
    </w:pPr>
  </w:style>
  <w:style w:type="paragraph" w:styleId="a4">
    <w:name w:val="footer"/>
    <w:basedOn w:val="a"/>
    <w:semiHidden/>
    <w:pPr>
      <w:tabs>
        <w:tab w:val="center" w:pos="4153"/>
        <w:tab w:val="right" w:pos="8306"/>
      </w:tabs>
      <w:autoSpaceDE w:val="0"/>
      <w:autoSpaceDN w:val="0"/>
      <w:adjustRightInd w:val="0"/>
      <w:spacing w:line="240" w:lineRule="atLeast"/>
      <w:jc w:val="left"/>
      <w:textAlignment w:val="baseline"/>
    </w:pPr>
    <w:rPr>
      <w:rFonts w:eastAsia="·s²Ó©úÅé"/>
      <w:kern w:val="0"/>
    </w:rPr>
  </w:style>
  <w:style w:type="paragraph" w:styleId="a5">
    <w:name w:val="header"/>
    <w:basedOn w:val="a"/>
    <w:semiHidden/>
    <w:pPr>
      <w:pBdr>
        <w:bottom w:val="single" w:sz="6" w:space="1" w:color="auto"/>
      </w:pBdr>
      <w:snapToGrid w:val="0"/>
      <w:jc w:val="center"/>
    </w:pPr>
  </w:style>
  <w:style w:type="paragraph" w:styleId="a6">
    <w:name w:val="caption"/>
    <w:basedOn w:val="a"/>
    <w:next w:val="a"/>
    <w:qFormat/>
    <w:pPr>
      <w:spacing w:before="152" w:after="160"/>
    </w:pPr>
    <w:rPr>
      <w:rFonts w:ascii="Arial" w:eastAsia="黑体" w:hAnsi="Arial"/>
    </w:rPr>
  </w:style>
  <w:style w:type="paragraph" w:styleId="a7">
    <w:name w:val="footnote text"/>
    <w:basedOn w:val="a"/>
    <w:next w:val="10"/>
    <w:semiHidden/>
    <w:pPr>
      <w:tabs>
        <w:tab w:val="left" w:pos="465"/>
      </w:tabs>
      <w:snapToGrid w:val="0"/>
      <w:spacing w:before="120" w:line="312" w:lineRule="auto"/>
      <w:ind w:firstLineChars="267" w:firstLine="267"/>
    </w:pPr>
    <w:rPr>
      <w:sz w:val="15"/>
    </w:rPr>
  </w:style>
  <w:style w:type="paragraph" w:customStyle="1" w:styleId="10">
    <w:name w:val="脚注文本1"/>
    <w:basedOn w:val="a7"/>
    <w:pPr>
      <w:spacing w:before="0"/>
      <w:ind w:firstLineChars="297" w:firstLine="297"/>
    </w:pPr>
  </w:style>
  <w:style w:type="character" w:styleId="a8">
    <w:name w:val="footnote reference"/>
    <w:autoRedefine/>
    <w:semiHidden/>
    <w:rPr>
      <w:rFonts w:ascii="Monotype Sorts" w:eastAsia="宋体" w:hAnsi="Monotype Sorts"/>
      <w:spacing w:val="0"/>
      <w:w w:val="100"/>
      <w:position w:val="0"/>
      <w:sz w:val="11"/>
      <w:vertAlign w:val="baseline"/>
    </w:rPr>
  </w:style>
  <w:style w:type="paragraph" w:customStyle="1" w:styleId="a9">
    <w:name w:val="首页页眉"/>
    <w:basedOn w:val="a5"/>
    <w:pPr>
      <w:pBdr>
        <w:bottom w:val="double" w:sz="6" w:space="1" w:color="auto"/>
      </w:pBdr>
      <w:jc w:val="both"/>
    </w:pPr>
  </w:style>
  <w:style w:type="paragraph" w:customStyle="1" w:styleId="Correspond">
    <w:name w:val="Correspond"/>
    <w:basedOn w:val="DepartCorrespond"/>
    <w:next w:val="a"/>
  </w:style>
  <w:style w:type="paragraph" w:customStyle="1" w:styleId="DepartCorrespond">
    <w:name w:val="Depart.Correspond"/>
    <w:basedOn w:val="aa"/>
    <w:pPr>
      <w:ind w:left="66" w:hangingChars="66" w:hanging="66"/>
    </w:pPr>
    <w:rPr>
      <w:iCs/>
      <w:sz w:val="16"/>
    </w:rPr>
  </w:style>
  <w:style w:type="paragraph" w:customStyle="1" w:styleId="aa">
    <w:name w:val="单位"/>
    <w:pPr>
      <w:ind w:left="70" w:hangingChars="70" w:hanging="70"/>
      <w:jc w:val="both"/>
    </w:pPr>
    <w:rPr>
      <w:sz w:val="17"/>
    </w:rPr>
  </w:style>
  <w:style w:type="character" w:styleId="ab">
    <w:name w:val="Strong"/>
    <w:qFormat/>
    <w:rPr>
      <w:b/>
      <w:bCs/>
    </w:rPr>
  </w:style>
  <w:style w:type="paragraph" w:customStyle="1" w:styleId="11">
    <w:name w:val="日期1"/>
    <w:basedOn w:val="DepartCorrespond"/>
    <w:next w:val="Information"/>
    <w:pPr>
      <w:spacing w:after="240"/>
    </w:pPr>
    <w:rPr>
      <w:sz w:val="18"/>
    </w:rPr>
  </w:style>
  <w:style w:type="paragraph" w:customStyle="1" w:styleId="Information">
    <w:name w:val="Information"/>
    <w:basedOn w:val="11"/>
    <w:next w:val="Abstract"/>
    <w:pPr>
      <w:ind w:left="0" w:firstLineChars="0" w:firstLine="0"/>
    </w:pPr>
    <w:rPr>
      <w:b/>
      <w:bCs/>
    </w:rPr>
  </w:style>
  <w:style w:type="paragraph" w:customStyle="1" w:styleId="Abstract">
    <w:name w:val="Abstract"/>
    <w:next w:val="Keywords"/>
    <w:pPr>
      <w:tabs>
        <w:tab w:val="left" w:pos="937"/>
      </w:tabs>
      <w:jc w:val="both"/>
    </w:pPr>
    <w:rPr>
      <w:rFonts w:eastAsia="楷体_GB2312"/>
      <w:kern w:val="2"/>
      <w:sz w:val="18"/>
    </w:rPr>
  </w:style>
  <w:style w:type="paragraph" w:customStyle="1" w:styleId="Keywords">
    <w:name w:val="Key words"/>
    <w:basedOn w:val="a"/>
    <w:next w:val="ac"/>
    <w:pPr>
      <w:tabs>
        <w:tab w:val="left" w:pos="1176"/>
      </w:tabs>
      <w:adjustRightInd w:val="0"/>
      <w:spacing w:after="290"/>
      <w:ind w:left="632" w:hangingChars="632" w:hanging="632"/>
    </w:pPr>
    <w:rPr>
      <w:rFonts w:eastAsia="楷体_GB2312"/>
      <w:snapToGrid w:val="0"/>
    </w:rPr>
  </w:style>
  <w:style w:type="paragraph" w:customStyle="1" w:styleId="ac">
    <w:name w:val="摘要"/>
    <w:basedOn w:val="a0"/>
    <w:next w:val="ad"/>
    <w:pPr>
      <w:tabs>
        <w:tab w:val="clear" w:pos="357"/>
        <w:tab w:val="left" w:pos="798"/>
      </w:tabs>
      <w:adjustRightInd w:val="0"/>
      <w:ind w:firstLineChars="0" w:firstLine="0"/>
    </w:pPr>
    <w:rPr>
      <w:rFonts w:eastAsia="楷体_GB2312"/>
      <w:snapToGrid w:val="0"/>
    </w:rPr>
  </w:style>
  <w:style w:type="paragraph" w:customStyle="1" w:styleId="ad">
    <w:name w:val="关键词"/>
    <w:basedOn w:val="ac"/>
    <w:next w:val="ae"/>
    <w:pPr>
      <w:ind w:left="429" w:hangingChars="429" w:hanging="429"/>
    </w:pPr>
  </w:style>
  <w:style w:type="paragraph" w:customStyle="1" w:styleId="ae">
    <w:name w:val="分类号"/>
    <w:basedOn w:val="11"/>
    <w:next w:val="a0"/>
    <w:pPr>
      <w:tabs>
        <w:tab w:val="left" w:pos="1233"/>
      </w:tabs>
      <w:spacing w:after="320"/>
      <w:ind w:left="0" w:firstLineChars="0" w:firstLine="0"/>
    </w:pPr>
    <w:rPr>
      <w:rFonts w:eastAsia="黑体"/>
    </w:rPr>
  </w:style>
  <w:style w:type="paragraph" w:customStyle="1" w:styleId="12">
    <w:name w:val="标题1"/>
    <w:basedOn w:val="a"/>
    <w:next w:val="Name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Name">
    <w:name w:val="Name"/>
    <w:basedOn w:val="af"/>
    <w:next w:val="DepartCorrespond"/>
    <w:pPr>
      <w:keepNext/>
      <w:spacing w:before="220" w:after="180"/>
    </w:pPr>
    <w:rPr>
      <w:rFonts w:eastAsia="宋体"/>
      <w:w w:val="100"/>
      <w:sz w:val="18"/>
    </w:rPr>
  </w:style>
  <w:style w:type="paragraph" w:customStyle="1" w:styleId="af">
    <w:name w:val="作者"/>
    <w:basedOn w:val="a"/>
    <w:next w:val="aa"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customStyle="1" w:styleId="af0">
    <w:name w:val="文前文本"/>
    <w:basedOn w:val="ad"/>
    <w:pPr>
      <w:ind w:left="0" w:firstLine="0"/>
    </w:pPr>
    <w:rPr>
      <w:b/>
    </w:rPr>
  </w:style>
  <w:style w:type="paragraph" w:customStyle="1" w:styleId="af1">
    <w:name w:val="定理"/>
    <w:basedOn w:val="a0"/>
    <w:next w:val="a0"/>
    <w:rPr>
      <w:rFonts w:eastAsia="黑体"/>
    </w:rPr>
  </w:style>
  <w:style w:type="paragraph" w:styleId="af2">
    <w:name w:val="Subtitle"/>
    <w:basedOn w:val="a"/>
    <w:next w:val="af"/>
    <w:qFormat/>
    <w:pPr>
      <w:spacing w:before="320"/>
      <w:outlineLvl w:val="0"/>
    </w:pPr>
    <w:rPr>
      <w:rFonts w:eastAsia="黑体"/>
      <w:sz w:val="36"/>
    </w:rPr>
  </w:style>
  <w:style w:type="paragraph" w:customStyle="1" w:styleId="af3">
    <w:name w:val="表名"/>
    <w:basedOn w:val="a"/>
    <w:pPr>
      <w:spacing w:after="120"/>
    </w:pPr>
  </w:style>
  <w:style w:type="character" w:styleId="af4">
    <w:name w:val="endnote reference"/>
    <w:semiHidden/>
    <w:rPr>
      <w:vertAlign w:val="superscript"/>
    </w:rPr>
  </w:style>
  <w:style w:type="paragraph" w:customStyle="1" w:styleId="Reference">
    <w:name w:val="Reference"/>
    <w:basedOn w:val="a"/>
    <w:next w:val="TextofReference"/>
    <w:pPr>
      <w:snapToGrid w:val="0"/>
      <w:spacing w:before="280"/>
      <w:jc w:val="left"/>
      <w:outlineLvl w:val="0"/>
    </w:pPr>
    <w:rPr>
      <w:rFonts w:eastAsia="黑体"/>
      <w:b/>
    </w:rPr>
  </w:style>
  <w:style w:type="paragraph" w:customStyle="1" w:styleId="TextofReference">
    <w:name w:val="Text of Reference"/>
    <w:pPr>
      <w:numPr>
        <w:numId w:val="2"/>
      </w:numPr>
      <w:spacing w:line="260" w:lineRule="exact"/>
      <w:jc w:val="both"/>
    </w:pPr>
    <w:rPr>
      <w:sz w:val="15"/>
    </w:rPr>
  </w:style>
  <w:style w:type="paragraph" w:customStyle="1" w:styleId="af5">
    <w:name w:val="证明"/>
    <w:basedOn w:val="af1"/>
    <w:rPr>
      <w:rFonts w:eastAsia="仿宋_GB2312"/>
    </w:rPr>
  </w:style>
  <w:style w:type="paragraph" w:customStyle="1" w:styleId="TextofReference1">
    <w:name w:val="Text of Reference 1"/>
    <w:pPr>
      <w:numPr>
        <w:numId w:val="3"/>
      </w:numPr>
      <w:spacing w:line="260" w:lineRule="exact"/>
      <w:jc w:val="both"/>
    </w:pPr>
    <w:rPr>
      <w:sz w:val="15"/>
    </w:rPr>
  </w:style>
  <w:style w:type="paragraph" w:customStyle="1" w:styleId="af6">
    <w:name w:val="中文参考文献"/>
    <w:basedOn w:val="Reference"/>
    <w:next w:val="a0"/>
    <w:pPr>
      <w:spacing w:before="240"/>
    </w:pPr>
    <w:rPr>
      <w:b w:val="0"/>
    </w:rPr>
  </w:style>
  <w:style w:type="paragraph" w:customStyle="1" w:styleId="af7">
    <w:name w:val="致谢"/>
    <w:basedOn w:val="af1"/>
    <w:next w:val="Reference"/>
    <w:pPr>
      <w:tabs>
        <w:tab w:val="clear" w:pos="357"/>
      </w:tabs>
      <w:spacing w:beforeLines="100" w:before="100"/>
      <w:ind w:firstLineChars="0" w:firstLine="0"/>
    </w:pPr>
    <w:rPr>
      <w:rFonts w:eastAsia="宋体"/>
      <w:bCs/>
    </w:rPr>
  </w:style>
  <w:style w:type="paragraph" w:customStyle="1" w:styleId="Textof">
    <w:name w:val="Text of 中文参考文献"/>
    <w:basedOn w:val="TextofReference"/>
    <w:pPr>
      <w:numPr>
        <w:numId w:val="0"/>
      </w:numPr>
      <w:tabs>
        <w:tab w:val="left" w:pos="346"/>
      </w:tabs>
      <w:ind w:left="258" w:hangingChars="258" w:hanging="258"/>
    </w:pPr>
  </w:style>
  <w:style w:type="paragraph" w:customStyle="1" w:styleId="Textof0">
    <w:name w:val="Text of 中文参考文献１"/>
    <w:basedOn w:val="Textof"/>
    <w:pPr>
      <w:tabs>
        <w:tab w:val="clear" w:pos="346"/>
        <w:tab w:val="left" w:pos="78"/>
        <w:tab w:val="left" w:pos="424"/>
      </w:tabs>
    </w:pPr>
  </w:style>
  <w:style w:type="character" w:styleId="af8">
    <w:name w:val="annotation reference"/>
    <w:semiHidden/>
    <w:rPr>
      <w:sz w:val="21"/>
      <w:szCs w:val="21"/>
    </w:rPr>
  </w:style>
  <w:style w:type="paragraph" w:styleId="af9">
    <w:name w:val="annotation text"/>
    <w:basedOn w:val="a"/>
    <w:semiHidden/>
    <w:pPr>
      <w:jc w:val="left"/>
    </w:pPr>
  </w:style>
  <w:style w:type="paragraph" w:styleId="afa">
    <w:name w:val="Normal (Web)"/>
    <w:basedOn w:val="a"/>
    <w:uiPriority w:val="99"/>
    <w:unhideWhenUsed/>
    <w:rsid w:val="00963950"/>
    <w:pPr>
      <w:widowControl/>
      <w:overflowPunct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题目</vt:lpstr>
      </vt:variant>
      <vt:variant>
        <vt:i4>1</vt:i4>
      </vt:variant>
    </vt:vector>
  </HeadingPairs>
  <TitlesOfParts>
    <vt:vector size="1" baseType="lpstr">
      <vt:lpstr>中文模板</vt:lpstr>
    </vt:vector>
  </TitlesOfParts>
  <Company>JOS</Company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中文模板</dc:title>
  <dc:subject/>
  <dc:creator>戢静漪</dc:creator>
  <cp:keywords/>
  <dc:description/>
  <cp:lastModifiedBy>yu-wj</cp:lastModifiedBy>
  <cp:revision>24</cp:revision>
  <cp:lastPrinted>2002-09-10T03:06:00Z</cp:lastPrinted>
  <dcterms:created xsi:type="dcterms:W3CDTF">2015-04-15T02:10:00Z</dcterms:created>
  <dcterms:modified xsi:type="dcterms:W3CDTF">2025-04-21T14:47:00Z</dcterms:modified>
</cp:coreProperties>
</file>