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2BF4" w14:textId="205F1F83" w:rsidR="00D42754" w:rsidRDefault="000B2187">
      <w:pPr>
        <w:rPr>
          <w:rFonts w:hint="eastAsia"/>
        </w:rPr>
      </w:pPr>
      <w:r>
        <w:rPr>
          <w:rFonts w:hint="eastAsia"/>
        </w:rPr>
        <w:t>MCP Forge 项目与导航讲解文档</w:t>
      </w:r>
    </w:p>
    <w:p w14:paraId="082C93C8" w14:textId="312E1DA0" w:rsidR="000B2187" w:rsidRDefault="000B2187" w:rsidP="000B2187">
      <w:pPr>
        <w:spacing w:after="280"/>
        <w:jc w:val="center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t>版本日期：2026-07-08</w:t>
      </w:r>
    </w:p>
    <w:p w14:paraId="36019543" w14:textId="75C807A6" w:rsidR="000B2187" w:rsidRDefault="000B2187" w:rsidP="000B2187">
      <w:pPr>
        <w:spacing w:after="360"/>
        <w:jc w:val="center"/>
        <w:rPr>
          <w:rFonts w:hint="eastAsia"/>
          <w:sz w:val="20"/>
        </w:rPr>
      </w:pPr>
      <w:r>
        <w:rPr>
          <w:rFonts w:hint="eastAsia"/>
          <w:sz w:val="20"/>
        </w:rPr>
        <w:t>一、项目概述</w:t>
      </w:r>
    </w:p>
    <w:p w14:paraId="76193A74" w14:textId="40E47C10" w:rsidR="000B2187" w:rsidRDefault="000B2187" w:rsidP="000B2187">
      <w:pPr>
        <w:spacing w:after="200"/>
        <w:jc w:val="left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• MCP Forge 是一个企业级 MCP 交付与治理平台。它的核心目标，不是做一个通用 ERP 或业务系统，而是把企业现有业务系统、知识文档和数据接口，转化为可交付、可治理、可持续运营的 MCP 能力。</w:t>
      </w:r>
    </w:p>
    <w:p w14:paraId="571B3872" w14:textId="4A5159FC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平台围绕完整交付链路组织页面：项目工作台、MCP 工厂、知识库、接入配置、测试与发布、网关与治理、使用统计、计费管理、文件下载。这样管理人员可以从项目启动一路看到接入、测试、上线、使用、计费和交付留痕，客户也可以只看到与自己项目直接相关的内容。</w:t>
      </w:r>
    </w:p>
    <w:p w14:paraId="5082E493" w14:textId="4887BA90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从业务流程上看，这个项目的主线是：数据源或文档接入，平台派生 MCP 资产，配置接入方式，进行测试与发布，配合网关策略进行治理，再通过使用统计、计费管理和交付物沉淀形成完整闭环。</w:t>
      </w:r>
    </w:p>
    <w:p w14:paraId="7DF9FECA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5E66F396" w14:textId="2E9BB5B5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二、角色说明</w:t>
      </w:r>
    </w:p>
    <w:p w14:paraId="7DEBDD1F" w14:textId="5C8EF3A2" w:rsidR="000B2187" w:rsidRDefault="000B2187" w:rsidP="000B2187">
      <w:pPr>
        <w:spacing w:after="200"/>
        <w:jc w:val="left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• 管理人员视角：面向平台运营、交付顾问、项目经理和财务协同人员，负责跨客户项目管理、平台能力配置、发布治理、异常处理、对账和交付留痕。</w:t>
      </w:r>
    </w:p>
    <w:p w14:paraId="7EDF2DC2" w14:textId="52EB7A10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客户用户视角：面向客户项目负责人、运营负责人或业务接口人，只查看自己项目范围内的交付结果、接入配置、发布状态、调用效果、账单和交付文件。</w:t>
      </w:r>
    </w:p>
    <w:p w14:paraId="30CFD95F" w14:textId="30D2D6D2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权限边界：客户用户不应看到平台级能力生产与治理页面，因此 MCP 工厂、网关与治理仅对管理人员开放。</w:t>
      </w:r>
    </w:p>
    <w:p w14:paraId="35F9727F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49512612" w14:textId="492E52F6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三、导航权限总览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100"/>
        <w:gridCol w:w="1100"/>
        <w:gridCol w:w="5200"/>
      </w:tblGrid>
      <w:tr w:rsidR="000B2187" w:rsidRPr="000B2187" w14:paraId="31FFD3F6" w14:textId="77777777" w:rsidTr="000B218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B11A6F9" w14:textId="140229D1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导航栏</w:t>
            </w:r>
          </w:p>
        </w:tc>
        <w:tc>
          <w:tcPr>
            <w:tcW w:w="1100" w:type="dxa"/>
          </w:tcPr>
          <w:p w14:paraId="4F3F9571" w14:textId="320AEC6D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管理人员</w:t>
            </w:r>
          </w:p>
        </w:tc>
        <w:tc>
          <w:tcPr>
            <w:tcW w:w="1100" w:type="dxa"/>
          </w:tcPr>
          <w:p w14:paraId="5554FAF9" w14:textId="681CDF99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客户用户</w:t>
            </w:r>
          </w:p>
        </w:tc>
        <w:tc>
          <w:tcPr>
            <w:tcW w:w="5200" w:type="dxa"/>
          </w:tcPr>
          <w:p w14:paraId="382D0404" w14:textId="36BACDCB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核心作用</w:t>
            </w:r>
          </w:p>
        </w:tc>
      </w:tr>
      <w:tr w:rsidR="000B2187" w:rsidRPr="000B2187" w14:paraId="5E0ABB93" w14:textId="77777777" w:rsidTr="000B218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E735B49" w14:textId="3775BD16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项目工作台</w:t>
            </w:r>
          </w:p>
        </w:tc>
        <w:tc>
          <w:tcPr>
            <w:tcW w:w="1100" w:type="dxa"/>
          </w:tcPr>
          <w:p w14:paraId="6A81CDF8" w14:textId="3AE3D4C0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1100" w:type="dxa"/>
          </w:tcPr>
          <w:p w14:paraId="10C783C1" w14:textId="5165A8D5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5200" w:type="dxa"/>
          </w:tcPr>
          <w:p w14:paraId="511642BA" w14:textId="440AE079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查看项目总览、健康状态、负责人、里程碑、发布、证书、异常和计费状态</w:t>
            </w:r>
          </w:p>
        </w:tc>
      </w:tr>
      <w:tr w:rsidR="000B2187" w:rsidRPr="000B2187" w14:paraId="36F085E3" w14:textId="77777777" w:rsidTr="000B218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CCAE6B8" w14:textId="70526DC7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MCP 工厂</w:t>
            </w:r>
          </w:p>
        </w:tc>
        <w:tc>
          <w:tcPr>
            <w:tcW w:w="1100" w:type="dxa"/>
          </w:tcPr>
          <w:p w14:paraId="6F020565" w14:textId="254A53BF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1100" w:type="dxa"/>
          </w:tcPr>
          <w:p w14:paraId="3B95EAC1" w14:textId="2F7B81F5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不可见</w:t>
            </w:r>
          </w:p>
        </w:tc>
        <w:tc>
          <w:tcPr>
            <w:tcW w:w="5200" w:type="dxa"/>
          </w:tcPr>
          <w:p w14:paraId="015BB9B8" w14:textId="303556FE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管理数据源接入、派生 MCP 资产和能力生产链路</w:t>
            </w:r>
          </w:p>
        </w:tc>
      </w:tr>
      <w:tr w:rsidR="000B2187" w:rsidRPr="000B2187" w14:paraId="513920C0" w14:textId="77777777" w:rsidTr="000B218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44D183A" w14:textId="09571097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lastRenderedPageBreak/>
              <w:t>知识库</w:t>
            </w:r>
          </w:p>
        </w:tc>
        <w:tc>
          <w:tcPr>
            <w:tcW w:w="1100" w:type="dxa"/>
          </w:tcPr>
          <w:p w14:paraId="5CA7484E" w14:textId="6C241AD0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1100" w:type="dxa"/>
          </w:tcPr>
          <w:p w14:paraId="188DAD02" w14:textId="402592FA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5200" w:type="dxa"/>
          </w:tcPr>
          <w:p w14:paraId="0E32E2F2" w14:textId="7C844C92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管理文档、索引、检索试调、召回日志和知识交付能力</w:t>
            </w:r>
          </w:p>
        </w:tc>
      </w:tr>
      <w:tr w:rsidR="000B2187" w:rsidRPr="000B2187" w14:paraId="27D4F247" w14:textId="77777777" w:rsidTr="000B218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7AA407E" w14:textId="7A7A6F60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接入配置</w:t>
            </w:r>
          </w:p>
        </w:tc>
        <w:tc>
          <w:tcPr>
            <w:tcW w:w="1100" w:type="dxa"/>
          </w:tcPr>
          <w:p w14:paraId="7978D3F9" w14:textId="460FBD45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1100" w:type="dxa"/>
          </w:tcPr>
          <w:p w14:paraId="2B68EC1F" w14:textId="64DCE298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5200" w:type="dxa"/>
          </w:tcPr>
          <w:p w14:paraId="7337340E" w14:textId="08EDDBF4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管理 SSE、API Key、OAuth、mTLS、Webhook 等客户接入配置</w:t>
            </w:r>
          </w:p>
        </w:tc>
      </w:tr>
      <w:tr w:rsidR="000B2187" w:rsidRPr="000B2187" w14:paraId="07233F24" w14:textId="77777777" w:rsidTr="000B218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F5F4491" w14:textId="281BE759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测试与发布</w:t>
            </w:r>
          </w:p>
        </w:tc>
        <w:tc>
          <w:tcPr>
            <w:tcW w:w="1100" w:type="dxa"/>
          </w:tcPr>
          <w:p w14:paraId="74D6400C" w14:textId="518714A7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1100" w:type="dxa"/>
          </w:tcPr>
          <w:p w14:paraId="5A63F03D" w14:textId="463023E8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5200" w:type="dxa"/>
          </w:tcPr>
          <w:p w14:paraId="470432F2" w14:textId="3FDE61EF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跟踪测试通过、发版、回滚和版本状态</w:t>
            </w:r>
          </w:p>
        </w:tc>
      </w:tr>
      <w:tr w:rsidR="000B2187" w:rsidRPr="000B2187" w14:paraId="7E81E438" w14:textId="77777777" w:rsidTr="000B218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E39F7A8" w14:textId="515FE1D1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网关与治理</w:t>
            </w:r>
          </w:p>
        </w:tc>
        <w:tc>
          <w:tcPr>
            <w:tcW w:w="1100" w:type="dxa"/>
          </w:tcPr>
          <w:p w14:paraId="40DECEFC" w14:textId="66670084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1100" w:type="dxa"/>
          </w:tcPr>
          <w:p w14:paraId="3EB76334" w14:textId="188BAFE2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不可见</w:t>
            </w:r>
          </w:p>
        </w:tc>
        <w:tc>
          <w:tcPr>
            <w:tcW w:w="5200" w:type="dxa"/>
          </w:tcPr>
          <w:p w14:paraId="1C658A93" w14:textId="41E7221B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管理认证、授权、限流、脱敏、策略审计等平台治理动作</w:t>
            </w:r>
          </w:p>
        </w:tc>
      </w:tr>
      <w:tr w:rsidR="000B2187" w:rsidRPr="000B2187" w14:paraId="52E409E1" w14:textId="77777777" w:rsidTr="000B218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81D28BC" w14:textId="5B1437B4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使用统计</w:t>
            </w:r>
          </w:p>
        </w:tc>
        <w:tc>
          <w:tcPr>
            <w:tcW w:w="1100" w:type="dxa"/>
          </w:tcPr>
          <w:p w14:paraId="71B09FD1" w14:textId="31A9E2B0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1100" w:type="dxa"/>
          </w:tcPr>
          <w:p w14:paraId="1FF007DE" w14:textId="5D6A3BCC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5200" w:type="dxa"/>
          </w:tcPr>
          <w:p w14:paraId="566A9BB3" w14:textId="4F84F459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查看调用量、成功率、异常、响应时延和业务结果</w:t>
            </w:r>
          </w:p>
        </w:tc>
      </w:tr>
      <w:tr w:rsidR="000B2187" w:rsidRPr="000B2187" w14:paraId="78FA092E" w14:textId="77777777" w:rsidTr="000B218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15BCD24" w14:textId="3A9EE21C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计费管理</w:t>
            </w:r>
          </w:p>
        </w:tc>
        <w:tc>
          <w:tcPr>
            <w:tcW w:w="1100" w:type="dxa"/>
          </w:tcPr>
          <w:p w14:paraId="09D98DBC" w14:textId="7C551599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1100" w:type="dxa"/>
          </w:tcPr>
          <w:p w14:paraId="7A1F2CDA" w14:textId="672A8F15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5200" w:type="dxa"/>
          </w:tcPr>
          <w:p w14:paraId="190892F2" w14:textId="66C0063F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查看账单、确认、对账、异常和回款状态</w:t>
            </w:r>
          </w:p>
        </w:tc>
      </w:tr>
      <w:tr w:rsidR="000B2187" w:rsidRPr="000B2187" w14:paraId="3BF07D42" w14:textId="77777777" w:rsidTr="000B218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B3F1D8D" w14:textId="6FBC951F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文件下载</w:t>
            </w:r>
          </w:p>
        </w:tc>
        <w:tc>
          <w:tcPr>
            <w:tcW w:w="1100" w:type="dxa"/>
          </w:tcPr>
          <w:p w14:paraId="2F5D7D2B" w14:textId="30B1B83B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1100" w:type="dxa"/>
          </w:tcPr>
          <w:p w14:paraId="3097B762" w14:textId="2CF56D8D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可见</w:t>
            </w:r>
          </w:p>
        </w:tc>
        <w:tc>
          <w:tcPr>
            <w:tcW w:w="5200" w:type="dxa"/>
          </w:tcPr>
          <w:p w14:paraId="4762FF7F" w14:textId="5E7883F3" w:rsidR="000B2187" w:rsidRPr="000B2187" w:rsidRDefault="000B2187" w:rsidP="000B2187">
            <w:pPr>
              <w:spacing w:after="200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下载配置包、测试报告、日志、复盘和知识导出文件</w:t>
            </w:r>
          </w:p>
        </w:tc>
      </w:tr>
    </w:tbl>
    <w:p w14:paraId="32172CDC" w14:textId="77777777" w:rsidR="000B2187" w:rsidRDefault="000B2187" w:rsidP="000B2187">
      <w:pPr>
        <w:spacing w:after="200"/>
        <w:jc w:val="left"/>
        <w:rPr>
          <w:rFonts w:hint="eastAsia"/>
          <w:b/>
          <w:sz w:val="32"/>
        </w:rPr>
      </w:pPr>
    </w:p>
    <w:p w14:paraId="329DAEF2" w14:textId="77777777" w:rsidR="000B2187" w:rsidRDefault="000B2187" w:rsidP="000B2187">
      <w:pPr>
        <w:spacing w:after="200"/>
        <w:jc w:val="left"/>
        <w:rPr>
          <w:rFonts w:hint="eastAsia"/>
          <w:b/>
          <w:sz w:val="32"/>
        </w:rPr>
      </w:pPr>
    </w:p>
    <w:p w14:paraId="3D42BF6D" w14:textId="44B696EF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四、管理人员视角：每个导航栏的作用</w:t>
      </w:r>
    </w:p>
    <w:p w14:paraId="5D5B0840" w14:textId="085863F5" w:rsidR="000B2187" w:rsidRDefault="000B2187" w:rsidP="000B2187">
      <w:pPr>
        <w:spacing w:after="200"/>
        <w:jc w:val="left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项目工作台</w:t>
      </w:r>
    </w:p>
    <w:p w14:paraId="7E037513" w14:textId="65AF5E73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• 这是管理人员的总控页，用来快速判断平台当前交付面是否健康。</w:t>
      </w:r>
    </w:p>
    <w:p w14:paraId="5F24189A" w14:textId="06D0ABC8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它关注的重点包括：客户、项目阶段、环境、负责人、健康状态、里程碑、最近发布、证书到期、调用异常、计费状态。</w:t>
      </w:r>
    </w:p>
    <w:p w14:paraId="4E0433F1" w14:textId="124990C0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适合项目经理和运营同学做日常巡检、识别风险项目、跟催责任人。</w:t>
      </w:r>
    </w:p>
    <w:p w14:paraId="3DD7F49A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569CD7BE" w14:textId="5A0D6FA9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MCP 工厂</w:t>
      </w:r>
    </w:p>
    <w:p w14:paraId="13F8E5C6" w14:textId="4E938DC8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• 这是平台侧的能力生产页，用来接入新数据源，并由平台自动派生 MCP 资产。</w:t>
      </w:r>
    </w:p>
    <w:p w14:paraId="2B453C5C" w14:textId="1A29568A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管理人员会在这里查看数据源类型、认证方式、派生资产数量、生命周期和版本。</w:t>
      </w:r>
    </w:p>
    <w:p w14:paraId="22B9DF90" w14:textId="4FC25CFF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客户不需要看到这个页面，因为它属于平台内部的能力制造过程，而不是客户的交付结果。</w:t>
      </w:r>
    </w:p>
    <w:p w14:paraId="5224EAE8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62F71247" w14:textId="3B850C6E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知识库</w:t>
      </w:r>
    </w:p>
    <w:p w14:paraId="35629E13" w14:textId="2356FED1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• 这是知识型交付的工作台，负责文档上传、知识源状态、问答能力、最</w:t>
      </w:r>
      <w:r>
        <w:rPr>
          <w:rFonts w:hint="eastAsia"/>
          <w:b/>
          <w:sz w:val="26"/>
        </w:rPr>
        <w:lastRenderedPageBreak/>
        <w:t>近发布、最近调用和交付导出。</w:t>
      </w:r>
    </w:p>
    <w:p w14:paraId="031221E3" w14:textId="69AAC127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管理人员在这里重点处理上传文档、重建索引、检索试调、召回日志和知识风险。</w:t>
      </w:r>
    </w:p>
    <w:p w14:paraId="40170E47" w14:textId="4F8B95A8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它的意义是把“文档是否已经真正可检索、可回答、可交付”变成可操作、可验证的工作流。</w:t>
      </w:r>
    </w:p>
    <w:p w14:paraId="47B53C1E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61E4BAEB" w14:textId="1EE3A875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接入配置</w:t>
      </w:r>
    </w:p>
    <w:p w14:paraId="2099849F" w14:textId="3C8189D9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• 这是客户接入平台能力的配置页，管理人员在这里统一维护接入方式、环境、凭证和健康状态。</w:t>
      </w:r>
    </w:p>
    <w:p w14:paraId="12A00173" w14:textId="1F646355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包括 SSE、API Key、OAuth 2.0、mTLS、Webhook 等方式，并且可以测试、编辑、审计变更和查看回调日志。</w:t>
      </w:r>
    </w:p>
    <w:p w14:paraId="5E16CF3B" w14:textId="2C18FF53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它负责把“能力做出来”进一步变成“客户真的能接进去并稳定用起来”。</w:t>
      </w:r>
    </w:p>
    <w:p w14:paraId="056CC85E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390E8A0E" w14:textId="7DD30B08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测试与发布</w:t>
      </w:r>
    </w:p>
    <w:p w14:paraId="58875A89" w14:textId="5BA93134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• 这是版本交付页，围绕测试通过、发版、回滚三个关键动作组织。</w:t>
      </w:r>
    </w:p>
    <w:p w14:paraId="7518812B" w14:textId="48203DBD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管理人员在这里查看资产版本、环境、测试时间、发布时间、风险标记，并推进上线窗口。</w:t>
      </w:r>
    </w:p>
    <w:p w14:paraId="091DC858" w14:textId="569B9961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它的作用是形成标准化发版节奏，而不是让发布依赖口头确认或线下沟通。</w:t>
      </w:r>
    </w:p>
    <w:p w14:paraId="0F1F230C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12887F68" w14:textId="198C6225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网关与治理</w:t>
      </w:r>
    </w:p>
    <w:p w14:paraId="791E6F74" w14:textId="1FA69D85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• 这是平台级安全与治理页面，管理人员在这里配置认证方式、限流、脱敏规则和审计状态。</w:t>
      </w:r>
    </w:p>
    <w:p w14:paraId="4CCE3D9B" w14:textId="1F1E4FBB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它解决的是“能不能调用”和“该怎么安全调用”的问题。</w:t>
      </w:r>
    </w:p>
    <w:p w14:paraId="49483298" w14:textId="71C9CFA0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客户不应直接进入该页，因为里面包含平台内部策略、平台级审计和跨项目治理信息。</w:t>
      </w:r>
    </w:p>
    <w:p w14:paraId="3A274A0F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0ABFDA59" w14:textId="7D283762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使用统计</w:t>
      </w:r>
    </w:p>
    <w:p w14:paraId="0EC9EDEE" w14:textId="73B9828C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• 这是上线后的运行观察页，用来判断客户是否真的在用、用得怎么样。</w:t>
      </w:r>
    </w:p>
    <w:p w14:paraId="50F43C70" w14:textId="44BF7D96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管理人员重点看调用量、成功率、业务结果、响应耗时、异常类型和调用趋势。</w:t>
      </w:r>
    </w:p>
    <w:p w14:paraId="53BE23E4" w14:textId="4073D4FF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它帮助运营和交付团队把发布结果和真实效果连接起来。</w:t>
      </w:r>
    </w:p>
    <w:p w14:paraId="5884C064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5B2A9C0C" w14:textId="0CB1544D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计费管理</w:t>
      </w:r>
    </w:p>
    <w:p w14:paraId="197E52DC" w14:textId="1E3D7447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lastRenderedPageBreak/>
        <w:t>• 这是账务工作台，不只是展示记录，还要支持确认、对账、异常追踪和回款管理。</w:t>
      </w:r>
    </w:p>
    <w:p w14:paraId="12BBD39A" w14:textId="4AB1838D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管理人员会在这里核对实施费、年费、能力包、调用量、效果费等不同计费项。</w:t>
      </w:r>
    </w:p>
    <w:p w14:paraId="71CEA0D6" w14:textId="1EFD1CE4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它的核心价值是把“系统账单”“客户确认”“开票回款”三件事拉通，避免漏收、重复计费和账期错位。</w:t>
      </w:r>
    </w:p>
    <w:p w14:paraId="0AC9F25A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73746CB9" w14:textId="547BFBDB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文件下载</w:t>
      </w:r>
    </w:p>
    <w:p w14:paraId="63801AF3" w14:textId="4496D4FD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• 这是交付物工作台，用来统一收口配置包、测试报告、日志、复盘材料和知识导出。</w:t>
      </w:r>
    </w:p>
    <w:p w14:paraId="64521B61" w14:textId="3CF14DBA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管理人员可以按项目、类型、状态查看交付物是否齐备，并在需要时重新生成或下载。</w:t>
      </w:r>
    </w:p>
    <w:p w14:paraId="7598443B" w14:textId="6D7E70CF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它是交付闭环的最后一站，负责把交付成果沉淀成可被客户接收和留档的材料。</w:t>
      </w:r>
    </w:p>
    <w:p w14:paraId="626F51F1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29586FC4" w14:textId="40C485F9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五、客户用户视角：每个导航栏的作用</w:t>
      </w:r>
    </w:p>
    <w:p w14:paraId="1A781F5F" w14:textId="0D582F65" w:rsidR="000B2187" w:rsidRDefault="000B2187" w:rsidP="000B2187">
      <w:pPr>
        <w:spacing w:after="200"/>
        <w:jc w:val="left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项目工作台</w:t>
      </w:r>
    </w:p>
    <w:p w14:paraId="3C4883C4" w14:textId="44F3D8CF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• 客户看到的是“我的项目”，重点是自己的交付和运行状态，而不是平台全局。</w:t>
      </w:r>
    </w:p>
    <w:p w14:paraId="4F3E69B8" w14:textId="286A8B8A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客户会用它确认项目进展、当前负责人、关键里程碑、最近发布和当前健康状态。</w:t>
      </w:r>
    </w:p>
    <w:p w14:paraId="0912373F" w14:textId="1ADE1B65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这个页面帮助客户快速判断项目是否按承诺推进。</w:t>
      </w:r>
    </w:p>
    <w:p w14:paraId="4E31E9B0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611DBE11" w14:textId="4D117036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知识库</w:t>
      </w:r>
    </w:p>
    <w:p w14:paraId="7FA479E3" w14:textId="63E50308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• 客户看到的是“我的知识库”，重点关注文档是否已接入、索引是否可用、问答效果是否稳定。</w:t>
      </w:r>
    </w:p>
    <w:p w14:paraId="46E68778" w14:textId="14E7DD4A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客户可以借此理解知识能力是否已经形成可用交付，而不是只停留在上传文档阶段。</w:t>
      </w:r>
    </w:p>
    <w:p w14:paraId="76D9579E" w14:textId="0B032D41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如果后续开放更强交互，这里也是客户验证检索质量的主要入口。</w:t>
      </w:r>
    </w:p>
    <w:p w14:paraId="5A890570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53BE1925" w14:textId="3ED78D76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接入配置</w:t>
      </w:r>
    </w:p>
    <w:p w14:paraId="2C6C9B6B" w14:textId="5D9312FD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• 客户看到的是“我的接入配置”，只包含自己项目相关的接入点、环境、</w:t>
      </w:r>
      <w:r>
        <w:rPr>
          <w:rFonts w:hint="eastAsia"/>
          <w:b/>
          <w:sz w:val="26"/>
        </w:rPr>
        <w:lastRenderedPageBreak/>
        <w:t>证书和健康情况。</w:t>
      </w:r>
    </w:p>
    <w:p w14:paraId="021E5B9B" w14:textId="61ACF118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客户可以在这里确认应该接哪个地址、使用什么认证方式、当前凭证是否到期、Webhook 是否健康。</w:t>
      </w:r>
    </w:p>
    <w:p w14:paraId="1155FBC1" w14:textId="2AA7CC31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这个页面的目的，是降低客户对接时的信息成本和沟通成本。</w:t>
      </w:r>
    </w:p>
    <w:p w14:paraId="03F6FFEF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69B7E429" w14:textId="4EB8DA13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测试与发布</w:t>
      </w:r>
    </w:p>
    <w:p w14:paraId="35BF57C5" w14:textId="0896ED26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• 客户在这里看到自己的版本状态、测试结果、发布时间和回滚准备情况。</w:t>
      </w:r>
    </w:p>
    <w:p w14:paraId="2826B9E2" w14:textId="70B5EBBD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它帮助客户判断当前是否已经过测、是否可上线、是否有回滚保障。</w:t>
      </w:r>
    </w:p>
    <w:p w14:paraId="3D01E4FF" w14:textId="0CBAE0CF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这个页面让发布信息透明可追踪，而不是依赖聊天记录确认。</w:t>
      </w:r>
    </w:p>
    <w:p w14:paraId="0CCBBE06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2E4CB338" w14:textId="4F8443AF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使用统计</w:t>
      </w:r>
    </w:p>
    <w:p w14:paraId="57534BF6" w14:textId="31960977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• 客户看到的是自己项目的调用数据和业务结果。</w:t>
      </w:r>
    </w:p>
    <w:p w14:paraId="6A934B63" w14:textId="2FBFF6BF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关注点包括调用量、成功率、异常、响应时延和效果变化。</w:t>
      </w:r>
    </w:p>
    <w:p w14:paraId="61AEFB06" w14:textId="10E10B32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它帮助客户理解“交付后的能力是否真的带来使用价值”。</w:t>
      </w:r>
    </w:p>
    <w:p w14:paraId="0C0D6FB1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7F7EC785" w14:textId="3DB92D88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计费管理</w:t>
      </w:r>
    </w:p>
    <w:p w14:paraId="22F598AB" w14:textId="42EE8CA5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• 客户看到的是“计费与账单”，包括账期、金额、状态、对账结果和回款进展。</w:t>
      </w:r>
    </w:p>
    <w:p w14:paraId="2C30E779" w14:textId="6B2CE06D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客户重点不是配置账务规则，而是确认“本期为什么收这笔钱、是否已经核对、当前进行到哪一步”。</w:t>
      </w:r>
    </w:p>
    <w:p w14:paraId="334D366A" w14:textId="342D5C39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这能减少财务沟通中的不透明和反复确认。</w:t>
      </w:r>
    </w:p>
    <w:p w14:paraId="336B8905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6E09E895" w14:textId="0D2C7E10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文件下载</w:t>
      </w:r>
    </w:p>
    <w:p w14:paraId="6294D0A7" w14:textId="02158963" w:rsidR="000B2187" w:rsidRDefault="000B2187" w:rsidP="000B2187">
      <w:pPr>
        <w:spacing w:after="120"/>
        <w:jc w:val="left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• 客户看到的是“交付物”，包括配置包、测试报告、日志、复盘材料和知识导出文件。</w:t>
      </w:r>
    </w:p>
    <w:p w14:paraId="4B0930A5" w14:textId="3A9C1876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它是客户拿到正式成果、留档材料和问题追溯依据的主要入口。</w:t>
      </w:r>
    </w:p>
    <w:p w14:paraId="274056BB" w14:textId="6A4C0678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相较于静态文件列表，工作台式交付物页面更适合后续扩展筛选、状态、下载动作和详情抽屉。</w:t>
      </w:r>
    </w:p>
    <w:p w14:paraId="1AC27757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26CDAF18" w14:textId="3BC2E18E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lastRenderedPageBreak/>
        <w:t>六、客户不可见页面与边界说明</w:t>
      </w:r>
    </w:p>
    <w:p w14:paraId="3295BCA7" w14:textId="35731608" w:rsidR="000B2187" w:rsidRDefault="000B2187" w:rsidP="000B2187">
      <w:pPr>
        <w:spacing w:after="200"/>
        <w:jc w:val="left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• 客户不可见页面一：MCP 工厂。原因是它属于平台内部的能力制造与数据源编排过程，不属于客户交付边界。</w:t>
      </w:r>
    </w:p>
    <w:p w14:paraId="599861BE" w14:textId="45EAAD4F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客户不可见页面二：网关与治理。原因是它涉及平台级认证策略、限流规则、脱敏策略和审计能力，属于平台内部治理边界。</w:t>
      </w:r>
    </w:p>
    <w:p w14:paraId="5831396C" w14:textId="7374D29A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即便客户可见的页面，也应只展示当前客户自己的项目、资产、调用、账单和文件，不可越权看到其他客户数据。</w:t>
      </w:r>
    </w:p>
    <w:p w14:paraId="635C26D5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0723A451" w14:textId="7D637CF5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七、这个项目的业务闭环</w:t>
      </w:r>
    </w:p>
    <w:p w14:paraId="4472B6F8" w14:textId="7FE22AEC" w:rsidR="000B2187" w:rsidRDefault="000B2187" w:rsidP="000B2187">
      <w:pPr>
        <w:spacing w:after="200"/>
        <w:jc w:val="left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• 第一步，管理人员在 MCP 工厂中完成数据源接入或知识源接入。</w:t>
      </w:r>
    </w:p>
    <w:p w14:paraId="5EC1478E" w14:textId="37E2F558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第二步，平台派生 MCP 资产，并在接入配置中准备客户接入方式。</w:t>
      </w:r>
    </w:p>
    <w:p w14:paraId="089AE073" w14:textId="38A149DC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第三步，在测试与发布中完成试调、测试通过、发版或回滚。</w:t>
      </w:r>
    </w:p>
    <w:p w14:paraId="46AFFBC8" w14:textId="685B0145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第四步，上线后通过使用统计观察真实调用与业务效果。</w:t>
      </w:r>
    </w:p>
    <w:p w14:paraId="43513EEB" w14:textId="1EE78A7A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第五步，在计费管理中完成确认、对账、异常处理和回款跟踪。</w:t>
      </w:r>
    </w:p>
    <w:p w14:paraId="38D4D2DC" w14:textId="57AA1D2F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第六步，在文件下载中沉淀配置包、报告、日志与复盘，形成完整交付闭环。</w:t>
      </w:r>
    </w:p>
    <w:p w14:paraId="759A2BE6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433069FC" w14:textId="335EB3A0" w:rsidR="000B2187" w:rsidRDefault="000B2187" w:rsidP="000B2187">
      <w:pPr>
        <w:spacing w:after="40"/>
        <w:jc w:val="left"/>
        <w:rPr>
          <w:rFonts w:hint="eastAsia"/>
          <w:sz w:val="12"/>
        </w:rPr>
      </w:pPr>
      <w:r>
        <w:rPr>
          <w:rFonts w:hint="eastAsia"/>
          <w:sz w:val="12"/>
        </w:rPr>
        <w:t>八、总结</w:t>
      </w:r>
    </w:p>
    <w:p w14:paraId="3B6BC725" w14:textId="30C3A797" w:rsidR="000B2187" w:rsidRDefault="000B2187" w:rsidP="000B2187">
      <w:pPr>
        <w:spacing w:after="200"/>
        <w:jc w:val="left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• 对管理人员来说，MCP Forge 是一个交付与运营控制台，帮助平台把跨客户项目、能力生产、上线治理、使用效果、计费与交付留痕统一管理。</w:t>
      </w:r>
    </w:p>
    <w:p w14:paraId="0E6F2217" w14:textId="587B957C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对客户用户来说，MCP Forge 是一个交付可视化工作台，帮助客户查看自己的项目状态、接入方式、版本发布、使用效果、账单和交付材料。</w:t>
      </w:r>
    </w:p>
    <w:p w14:paraId="0294B685" w14:textId="1E2AAD5D" w:rsidR="000B2187" w:rsidRDefault="000B2187" w:rsidP="000B2187">
      <w:pPr>
        <w:spacing w:after="80"/>
        <w:jc w:val="left"/>
        <w:rPr>
          <w:rFonts w:hint="eastAsia"/>
          <w:sz w:val="22"/>
        </w:rPr>
      </w:pPr>
      <w:r>
        <w:rPr>
          <w:rFonts w:hint="eastAsia"/>
          <w:sz w:val="22"/>
        </w:rPr>
        <w:t>• 整个产品最重要的设计原则是：平台侧做复杂治理，客户侧看清楚结果；平台侧看全局，客户侧只看自己的交付边界。</w:t>
      </w:r>
    </w:p>
    <w:p w14:paraId="2CC95829" w14:textId="77777777" w:rsidR="000B2187" w:rsidRDefault="000B2187" w:rsidP="000B2187">
      <w:pPr>
        <w:spacing w:after="80"/>
        <w:jc w:val="left"/>
        <w:rPr>
          <w:rFonts w:hint="eastAsia"/>
          <w:sz w:val="22"/>
        </w:rPr>
      </w:pPr>
    </w:p>
    <w:p w14:paraId="3B279817" w14:textId="77777777" w:rsidR="000B2187" w:rsidRPr="000B2187" w:rsidRDefault="000B2187" w:rsidP="000B2187">
      <w:pPr>
        <w:spacing w:after="40"/>
        <w:jc w:val="left"/>
        <w:rPr>
          <w:rFonts w:hint="eastAsia"/>
          <w:sz w:val="12"/>
        </w:rPr>
      </w:pPr>
    </w:p>
    <w:sectPr w:rsidR="000B2187" w:rsidRPr="000B21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87"/>
    <w:rsid w:val="000B2187"/>
    <w:rsid w:val="00660AB6"/>
    <w:rsid w:val="00D42754"/>
    <w:rsid w:val="00D7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DB5B"/>
  <w15:chartTrackingRefBased/>
  <w15:docId w15:val="{46DEA1FE-356F-41DA-8AF4-8F0EE0887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21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1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1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1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18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1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1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1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21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2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2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21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218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21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21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21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21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21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2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1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21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21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21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21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21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2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21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2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嘉豪 董</dc:creator>
  <cp:keywords/>
  <dc:description/>
  <cp:lastModifiedBy>嘉豪 董</cp:lastModifiedBy>
  <cp:revision>1</cp:revision>
  <dcterms:created xsi:type="dcterms:W3CDTF">2026-07-08T08:46:00Z</dcterms:created>
  <dcterms:modified xsi:type="dcterms:W3CDTF">2026-07-08T08:47:00Z</dcterms:modified>
</cp:coreProperties>
</file>