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43D0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个人简历</w:t>
      </w:r>
    </w:p>
    <w:p w14:paraId="4A100B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Style w:val="9"/>
          <w:rFonts w:ascii="宋体" w:hAnsi="宋体" w:eastAsia="宋体" w:cs="宋体"/>
          <w:b/>
          <w:bCs/>
          <w:color w:val="000000"/>
          <w:kern w:val="0"/>
          <w:sz w:val="19"/>
          <w:szCs w:val="19"/>
          <w:bdr w:val="none" w:color="auto" w:sz="0" w:space="0"/>
          <w:lang w:val="en-US" w:eastAsia="zh-CN" w:bidi="ar"/>
        </w:rPr>
        <w:t>求职意向</w:t>
      </w:r>
      <w:r>
        <w:rPr>
          <w:rFonts w:ascii="宋体" w:hAnsi="宋体" w:eastAsia="宋体" w:cs="宋体"/>
          <w:color w:val="000000"/>
          <w:kern w:val="0"/>
          <w:sz w:val="19"/>
          <w:szCs w:val="19"/>
          <w:bdr w:val="none" w:color="auto" w:sz="0" w:space="0"/>
          <w:lang w:val="en-US" w:eastAsia="zh-CN" w:bidi="ar"/>
        </w:rPr>
        <w:t>：审计实习生</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427"/>
        <w:gridCol w:w="695"/>
        <w:gridCol w:w="793"/>
        <w:gridCol w:w="900"/>
      </w:tblGrid>
      <w:tr w14:paraId="1F3E8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shd w:val="clear"/>
            <w:vAlign w:val="center"/>
          </w:tcPr>
          <w:p w14:paraId="6F3E46FE">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bdr w:val="none" w:color="auto" w:sz="0" w:space="0"/>
                <w:lang w:val="en-US" w:eastAsia="zh-CN" w:bidi="ar"/>
              </w:rPr>
              <w:t>姓名</w:t>
            </w:r>
          </w:p>
        </w:tc>
        <w:tc>
          <w:tcPr>
            <w:tcW w:w="0" w:type="auto"/>
            <w:shd w:val="clear"/>
            <w:vAlign w:val="center"/>
          </w:tcPr>
          <w:p w14:paraId="4717184C">
            <w:pPr>
              <w:jc w:val="center"/>
              <w:rPr>
                <w:rFonts w:hint="eastAsia" w:ascii="宋体"/>
                <w:b/>
                <w:bCs/>
                <w:color w:val="000000"/>
                <w:sz w:val="19"/>
                <w:szCs w:val="19"/>
              </w:rPr>
            </w:pPr>
          </w:p>
        </w:tc>
        <w:tc>
          <w:tcPr>
            <w:tcW w:w="0" w:type="auto"/>
            <w:shd w:val="clear"/>
            <w:vAlign w:val="center"/>
          </w:tcPr>
          <w:p w14:paraId="2CC9450A">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bdr w:val="none" w:color="auto" w:sz="0" w:space="0"/>
                <w:lang w:val="en-US" w:eastAsia="zh-CN" w:bidi="ar"/>
              </w:rPr>
              <w:t>出生年月</w:t>
            </w:r>
          </w:p>
        </w:tc>
        <w:tc>
          <w:tcPr>
            <w:tcW w:w="0" w:type="auto"/>
            <w:shd w:val="clear"/>
            <w:vAlign w:val="center"/>
          </w:tcPr>
          <w:p w14:paraId="4B14A2EE">
            <w:pPr>
              <w:jc w:val="center"/>
              <w:rPr>
                <w:rFonts w:hint="eastAsia" w:ascii="宋体"/>
                <w:b/>
                <w:bCs/>
                <w:color w:val="000000"/>
                <w:sz w:val="19"/>
                <w:szCs w:val="19"/>
              </w:rPr>
            </w:pPr>
          </w:p>
        </w:tc>
      </w:tr>
      <w:tr w14:paraId="4B6A1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shd w:val="clear"/>
            <w:vAlign w:val="center"/>
          </w:tcPr>
          <w:p w14:paraId="16BB031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bdr w:val="none" w:color="auto" w:sz="0" w:space="0"/>
                <w:lang w:val="en-US" w:eastAsia="zh-CN" w:bidi="ar"/>
              </w:rPr>
              <w:t>籍贯</w:t>
            </w:r>
          </w:p>
        </w:tc>
        <w:tc>
          <w:tcPr>
            <w:tcW w:w="0" w:type="auto"/>
            <w:shd w:val="clear"/>
            <w:vAlign w:val="center"/>
          </w:tcPr>
          <w:p w14:paraId="4D92C087">
            <w:pPr>
              <w:rPr>
                <w:rFonts w:hint="eastAsia" w:ascii="宋体"/>
                <w:color w:val="000000"/>
                <w:sz w:val="19"/>
                <w:szCs w:val="19"/>
              </w:rPr>
            </w:pPr>
          </w:p>
        </w:tc>
        <w:tc>
          <w:tcPr>
            <w:tcW w:w="0" w:type="auto"/>
            <w:shd w:val="clear"/>
            <w:vAlign w:val="center"/>
          </w:tcPr>
          <w:p w14:paraId="54906F0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bdr w:val="none" w:color="auto" w:sz="0" w:space="0"/>
                <w:lang w:val="en-US" w:eastAsia="zh-CN" w:bidi="ar"/>
              </w:rPr>
              <w:t>政治面貌</w:t>
            </w:r>
          </w:p>
        </w:tc>
        <w:tc>
          <w:tcPr>
            <w:tcW w:w="0" w:type="auto"/>
            <w:shd w:val="clear"/>
            <w:vAlign w:val="center"/>
          </w:tcPr>
          <w:p w14:paraId="74B46A86">
            <w:pPr>
              <w:rPr>
                <w:rFonts w:hint="eastAsia" w:ascii="宋体"/>
                <w:color w:val="000000"/>
                <w:sz w:val="19"/>
                <w:szCs w:val="19"/>
              </w:rPr>
            </w:pPr>
          </w:p>
        </w:tc>
      </w:tr>
      <w:tr w14:paraId="087CDC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shd w:val="clear"/>
            <w:vAlign w:val="center"/>
          </w:tcPr>
          <w:p w14:paraId="1684FA4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bdr w:val="none" w:color="auto" w:sz="0" w:space="0"/>
                <w:lang w:val="en-US" w:eastAsia="zh-CN" w:bidi="ar"/>
              </w:rPr>
              <w:t>邮箱</w:t>
            </w:r>
          </w:p>
        </w:tc>
        <w:tc>
          <w:tcPr>
            <w:tcW w:w="0" w:type="auto"/>
            <w:shd w:val="clear"/>
            <w:vAlign w:val="center"/>
          </w:tcPr>
          <w:p w14:paraId="464BB1ED">
            <w:pPr>
              <w:rPr>
                <w:rFonts w:hint="eastAsia" w:ascii="宋体"/>
                <w:color w:val="000000"/>
                <w:sz w:val="19"/>
                <w:szCs w:val="19"/>
              </w:rPr>
            </w:pPr>
          </w:p>
        </w:tc>
        <w:tc>
          <w:tcPr>
            <w:tcW w:w="0" w:type="auto"/>
            <w:shd w:val="clear"/>
            <w:vAlign w:val="center"/>
          </w:tcPr>
          <w:p w14:paraId="1E0DAA1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bdr w:val="none" w:color="auto" w:sz="0" w:space="0"/>
                <w:lang w:val="en-US" w:eastAsia="zh-CN" w:bidi="ar"/>
              </w:rPr>
              <w:t>电话</w:t>
            </w:r>
          </w:p>
        </w:tc>
        <w:tc>
          <w:tcPr>
            <w:tcW w:w="0" w:type="auto"/>
            <w:shd w:val="clear"/>
            <w:vAlign w:val="center"/>
          </w:tcPr>
          <w:p w14:paraId="753EB9B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bdr w:val="none" w:color="auto" w:sz="0" w:space="0"/>
                <w:lang w:val="en-US" w:eastAsia="zh-CN" w:bidi="ar"/>
              </w:rPr>
              <w:t>19*******</w:t>
            </w:r>
          </w:p>
        </w:tc>
      </w:tr>
      <w:tr w14:paraId="34EED8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shd w:val="clear"/>
            <w:vAlign w:val="center"/>
          </w:tcPr>
          <w:p w14:paraId="3F876E7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bdr w:val="none" w:color="auto" w:sz="0" w:space="0"/>
                <w:lang w:val="en-US" w:eastAsia="zh-CN" w:bidi="ar"/>
              </w:rPr>
              <w:t>GPA</w:t>
            </w:r>
          </w:p>
        </w:tc>
        <w:tc>
          <w:tcPr>
            <w:tcW w:w="0" w:type="auto"/>
            <w:shd w:val="clear"/>
            <w:vAlign w:val="center"/>
          </w:tcPr>
          <w:p w14:paraId="3239487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bdr w:val="none" w:color="auto" w:sz="0" w:space="0"/>
                <w:lang w:val="en-US" w:eastAsia="zh-CN" w:bidi="ar"/>
              </w:rPr>
              <w:t>4.5/5.0</w:t>
            </w:r>
          </w:p>
        </w:tc>
        <w:tc>
          <w:tcPr>
            <w:tcW w:w="0" w:type="auto"/>
            <w:shd w:val="clear"/>
            <w:vAlign w:val="center"/>
          </w:tcPr>
          <w:p w14:paraId="67F16AC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bdr w:val="none" w:color="auto" w:sz="0" w:space="0"/>
                <w:lang w:val="en-US" w:eastAsia="zh-CN" w:bidi="ar"/>
              </w:rPr>
              <w:t>成绩排名</w:t>
            </w:r>
          </w:p>
        </w:tc>
        <w:tc>
          <w:tcPr>
            <w:tcW w:w="0" w:type="auto"/>
            <w:shd w:val="clear"/>
            <w:vAlign w:val="center"/>
          </w:tcPr>
          <w:p w14:paraId="5A2F536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bdr w:val="none" w:color="auto" w:sz="0" w:space="0"/>
                <w:lang w:val="en-US" w:eastAsia="zh-CN" w:bidi="ar"/>
              </w:rPr>
              <w:t>1/189</w:t>
            </w:r>
          </w:p>
        </w:tc>
      </w:tr>
    </w:tbl>
    <w:p w14:paraId="459C9D3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教育背景</w:t>
      </w:r>
    </w:p>
    <w:p w14:paraId="362F15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Style w:val="9"/>
          <w:rFonts w:ascii="宋体" w:hAnsi="宋体" w:eastAsia="宋体" w:cs="宋体"/>
          <w:b/>
          <w:bCs/>
          <w:color w:val="000000"/>
          <w:kern w:val="0"/>
          <w:sz w:val="19"/>
          <w:szCs w:val="19"/>
          <w:bdr w:val="none" w:color="auto" w:sz="0" w:space="0"/>
          <w:lang w:val="en-US" w:eastAsia="zh-CN" w:bidi="ar"/>
        </w:rPr>
        <w:t>财务管理（本科）</w:t>
      </w:r>
      <w:r>
        <w:rPr>
          <w:rFonts w:ascii="宋体" w:hAnsi="宋体" w:eastAsia="宋体" w:cs="宋体"/>
          <w:color w:val="000000"/>
          <w:kern w:val="0"/>
          <w:sz w:val="19"/>
          <w:szCs w:val="19"/>
          <w:bdr w:val="none" w:color="auto" w:sz="0" w:space="0"/>
          <w:lang w:val="en-US" w:eastAsia="zh-CN" w:bidi="ar"/>
        </w:rPr>
        <w:t>2023.09— 至今</w:t>
      </w:r>
    </w:p>
    <w:p w14:paraId="31B204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Style w:val="9"/>
          <w:rFonts w:ascii="宋体" w:hAnsi="宋体" w:eastAsia="宋体" w:cs="宋体"/>
          <w:b/>
          <w:bCs/>
          <w:color w:val="000000"/>
          <w:kern w:val="0"/>
          <w:sz w:val="19"/>
          <w:szCs w:val="19"/>
          <w:bdr w:val="none" w:color="auto" w:sz="0" w:space="0"/>
          <w:lang w:val="en-US" w:eastAsia="zh-CN" w:bidi="ar"/>
        </w:rPr>
        <w:t>已修专业课程</w:t>
      </w:r>
      <w:r>
        <w:rPr>
          <w:rFonts w:ascii="宋体" w:hAnsi="宋体" w:eastAsia="宋体" w:cs="宋体"/>
          <w:color w:val="000000"/>
          <w:kern w:val="0"/>
          <w:sz w:val="19"/>
          <w:szCs w:val="19"/>
          <w:bdr w:val="none" w:color="auto" w:sz="0" w:space="0"/>
          <w:lang w:val="en-US" w:eastAsia="zh-CN" w:bidi="ar"/>
        </w:rPr>
        <w:t>：成本管理会计（97）、管理学（96.8）、财务管理学（96.8）、财务软件应用（95.8）、政治经济学（94.8）、统计学原理（94.8）、财务管理综合实训（94.7）、市场营销学（92.8）、经营决策沙盘模拟实验（91.8）、会计学原理（90.8）</w:t>
      </w:r>
    </w:p>
    <w:p w14:paraId="5B77C1E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项目比赛经历</w:t>
      </w:r>
    </w:p>
    <w:p w14:paraId="4716FA5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财政课题《行政事业单位国有资产管理研究》</w:t>
      </w:r>
    </w:p>
    <w:p w14:paraId="1A399B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Style w:val="9"/>
          <w:rFonts w:ascii="宋体" w:hAnsi="宋体" w:eastAsia="宋体" w:cs="宋体"/>
          <w:b/>
          <w:bCs/>
          <w:color w:val="000000"/>
          <w:kern w:val="0"/>
          <w:sz w:val="19"/>
          <w:szCs w:val="19"/>
          <w:bdr w:val="none" w:color="auto" w:sz="0" w:space="0"/>
          <w:lang w:val="en-US" w:eastAsia="zh-CN" w:bidi="ar"/>
        </w:rPr>
        <w:t>合作单位</w:t>
      </w:r>
      <w:r>
        <w:rPr>
          <w:rFonts w:ascii="宋体" w:hAnsi="宋体" w:eastAsia="宋体" w:cs="宋体"/>
          <w:color w:val="000000"/>
          <w:kern w:val="0"/>
          <w:sz w:val="19"/>
          <w:szCs w:val="19"/>
          <w:bdr w:val="none" w:color="auto" w:sz="0" w:space="0"/>
          <w:lang w:val="en-US" w:eastAsia="zh-CN" w:bidi="ar"/>
        </w:rPr>
        <w:t>：市财政局</w:t>
      </w:r>
      <w:r>
        <w:rPr>
          <w:rStyle w:val="9"/>
          <w:rFonts w:ascii="宋体" w:hAnsi="宋体" w:eastAsia="宋体" w:cs="宋体"/>
          <w:b/>
          <w:bCs/>
          <w:color w:val="000000"/>
          <w:kern w:val="0"/>
          <w:sz w:val="19"/>
          <w:szCs w:val="19"/>
          <w:bdr w:val="none" w:color="auto" w:sz="0" w:space="0"/>
          <w:lang w:val="en-US" w:eastAsia="zh-CN" w:bidi="ar"/>
        </w:rPr>
        <w:t>项目周期</w:t>
      </w:r>
      <w:r>
        <w:rPr>
          <w:rFonts w:ascii="宋体" w:hAnsi="宋体" w:eastAsia="宋体" w:cs="宋体"/>
          <w:color w:val="000000"/>
          <w:kern w:val="0"/>
          <w:sz w:val="19"/>
          <w:szCs w:val="19"/>
          <w:bdr w:val="none" w:color="auto" w:sz="0" w:space="0"/>
          <w:lang w:val="en-US" w:eastAsia="zh-CN" w:bidi="ar"/>
        </w:rPr>
        <w:t>：2024.06—2024.08</w:t>
      </w:r>
    </w:p>
    <w:p w14:paraId="5DF52B9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负责国有资产管理相关政策文件的筛选、整理与校对，梳理全国及地方级行政事业单位资产管理法规 120 + 份，分类归集，确保条款与现行财政规范一致，可直接支撑行政事业单位资产审计的合规性核查，提升审计资料检索效率。</w:t>
      </w:r>
    </w:p>
    <w:p w14:paraId="398ACA5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参与书籍内容排版与文字审核，协助完成 670 页、近 50 万字汇编资料的格式统一，全稿文字校对误差率低于 0.1‰。</w:t>
      </w:r>
    </w:p>
    <w:p w14:paraId="1BC8C5E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参与政府部门财务类项目，熟悉财务资产管理法规，具备扎实的合规认知、文档精细化处理能力及专业协作适配性。</w:t>
      </w:r>
    </w:p>
    <w:p w14:paraId="6C6A527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全国高校商业精英挑战赛会计与商业管理案例竞赛</w:t>
      </w:r>
    </w:p>
    <w:p w14:paraId="47B45C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Style w:val="9"/>
          <w:rFonts w:ascii="宋体" w:hAnsi="宋体" w:eastAsia="宋体" w:cs="宋体"/>
          <w:b/>
          <w:bCs/>
          <w:color w:val="000000"/>
          <w:kern w:val="0"/>
          <w:sz w:val="19"/>
          <w:szCs w:val="19"/>
          <w:bdr w:val="none" w:color="auto" w:sz="0" w:space="0"/>
          <w:lang w:val="en-US" w:eastAsia="zh-CN" w:bidi="ar"/>
        </w:rPr>
        <w:t>所获荣誉</w:t>
      </w:r>
      <w:r>
        <w:rPr>
          <w:rFonts w:ascii="宋体" w:hAnsi="宋体" w:eastAsia="宋体" w:cs="宋体"/>
          <w:color w:val="000000"/>
          <w:kern w:val="0"/>
          <w:sz w:val="19"/>
          <w:szCs w:val="19"/>
          <w:bdr w:val="none" w:color="auto" w:sz="0" w:space="0"/>
          <w:lang w:val="en-US" w:eastAsia="zh-CN" w:bidi="ar"/>
        </w:rPr>
        <w:t>：国家级一等奖 &amp; 项目负责人</w:t>
      </w:r>
      <w:r>
        <w:rPr>
          <w:rStyle w:val="9"/>
          <w:rFonts w:ascii="宋体" w:hAnsi="宋体" w:eastAsia="宋体" w:cs="宋体"/>
          <w:b/>
          <w:bCs/>
          <w:color w:val="000000"/>
          <w:kern w:val="0"/>
          <w:sz w:val="19"/>
          <w:szCs w:val="19"/>
          <w:bdr w:val="none" w:color="auto" w:sz="0" w:space="0"/>
          <w:lang w:val="en-US" w:eastAsia="zh-CN" w:bidi="ar"/>
        </w:rPr>
        <w:t>比赛周期</w:t>
      </w:r>
      <w:r>
        <w:rPr>
          <w:rFonts w:ascii="宋体" w:hAnsi="宋体" w:eastAsia="宋体" w:cs="宋体"/>
          <w:color w:val="000000"/>
          <w:kern w:val="0"/>
          <w:sz w:val="19"/>
          <w:szCs w:val="19"/>
          <w:bdr w:val="none" w:color="auto" w:sz="0" w:space="0"/>
          <w:lang w:val="en-US" w:eastAsia="zh-CN" w:bidi="ar"/>
        </w:rPr>
        <w:t>：2025.03—2025.06</w:t>
      </w:r>
    </w:p>
    <w:p w14:paraId="0E5A53C0">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拆解美的集团近 3 年财务报表，完成四大能力分析、综合财务分析，提取净利润、资产负债率等十余核心指标。</w:t>
      </w:r>
    </w:p>
    <w:p w14:paraId="6946659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结合行业现状，用 PEST 模型分析外部环境，联动 SWOT 工具制定财务策略，支撑总体战略，设计财务保障策略，相关分析逻辑可适配审计工作中的企业财务风险识别。</w:t>
      </w:r>
    </w:p>
    <w:p w14:paraId="3E6775F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基于财务分析结果，预测企业未来 3-5 年行业趋势，制定成本管控、营收增长的具体策略，撰写近 5 万字财务分析报告。</w:t>
      </w:r>
    </w:p>
    <w:p w14:paraId="423D8A3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“科云杯” 全国大学生财会职业能力大赛</w:t>
      </w:r>
    </w:p>
    <w:p w14:paraId="77E462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Style w:val="9"/>
          <w:rFonts w:ascii="宋体" w:hAnsi="宋体" w:eastAsia="宋体" w:cs="宋体"/>
          <w:b/>
          <w:bCs/>
          <w:color w:val="000000"/>
          <w:kern w:val="0"/>
          <w:sz w:val="19"/>
          <w:szCs w:val="19"/>
          <w:bdr w:val="none" w:color="auto" w:sz="0" w:space="0"/>
          <w:lang w:val="en-US" w:eastAsia="zh-CN" w:bidi="ar"/>
        </w:rPr>
        <w:t>所获荣誉</w:t>
      </w:r>
      <w:r>
        <w:rPr>
          <w:rFonts w:ascii="宋体" w:hAnsi="宋体" w:eastAsia="宋体" w:cs="宋体"/>
          <w:color w:val="000000"/>
          <w:kern w:val="0"/>
          <w:sz w:val="19"/>
          <w:szCs w:val="19"/>
          <w:bdr w:val="none" w:color="auto" w:sz="0" w:space="0"/>
          <w:lang w:val="en-US" w:eastAsia="zh-CN" w:bidi="ar"/>
        </w:rPr>
        <w:t>：新疆赛区三等奖 &amp; 团队队长</w:t>
      </w:r>
      <w:r>
        <w:rPr>
          <w:rStyle w:val="9"/>
          <w:rFonts w:ascii="宋体" w:hAnsi="宋体" w:eastAsia="宋体" w:cs="宋体"/>
          <w:b/>
          <w:bCs/>
          <w:color w:val="000000"/>
          <w:kern w:val="0"/>
          <w:sz w:val="19"/>
          <w:szCs w:val="19"/>
          <w:bdr w:val="none" w:color="auto" w:sz="0" w:space="0"/>
          <w:lang w:val="en-US" w:eastAsia="zh-CN" w:bidi="ar"/>
        </w:rPr>
        <w:t>比赛周期</w:t>
      </w:r>
      <w:r>
        <w:rPr>
          <w:rFonts w:ascii="宋体" w:hAnsi="宋体" w:eastAsia="宋体" w:cs="宋体"/>
          <w:color w:val="000000"/>
          <w:kern w:val="0"/>
          <w:sz w:val="19"/>
          <w:szCs w:val="19"/>
          <w:bdr w:val="none" w:color="auto" w:sz="0" w:space="0"/>
          <w:lang w:val="en-US" w:eastAsia="zh-CN" w:bidi="ar"/>
        </w:rPr>
        <w:t>：2025.10—2025.11</w:t>
      </w:r>
    </w:p>
    <w:p w14:paraId="2A3A4ACB">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模拟出纳、成本会计、总账会计和会计主管岗位，完成从原始凭证审核到财务报表生成的全流程财务业务处理及纳税申报操作，完整还原企业日常账务工作场景，熟练掌握的凭证审核、账务核对技能，匹配审计助理的底稿基础核查需求。</w:t>
      </w:r>
    </w:p>
    <w:p w14:paraId="77D6D4A2">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独立完成智能化财务应用模块实操任务，进行 Excel 数据建模、票据建模，同时借助相关工具对模拟企业的营收、成本、费用等多维度财务数据进行清洗、建模与可视化分析，输出数据看板及分析结论，支撑财务决策判断。</w:t>
      </w:r>
    </w:p>
    <w:p w14:paraId="751632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校园经历</w:t>
      </w:r>
    </w:p>
    <w:p w14:paraId="5A61BEF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班长 &amp; 团支部副书记</w:t>
      </w:r>
    </w:p>
    <w:p w14:paraId="728990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bdr w:val="none" w:color="auto" w:sz="0" w:space="0"/>
          <w:lang w:val="en-US" w:eastAsia="zh-CN" w:bidi="ar"/>
        </w:rPr>
        <w:t>2023.09— 至今</w:t>
      </w:r>
    </w:p>
    <w:p w14:paraId="60B313AD">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上下沟通：及时传达院系工作通知并推进落实，搭建老师与学生的沟通桥梁，辅助处理班级事务，高效服务班级同学。</w:t>
      </w:r>
    </w:p>
    <w:p w14:paraId="153844E0">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班风建设：每学年策划开展安全教育、诚信教育等 30 + 场主题班会，牵头开展学业帮扶活动，推动班级专业成绩稳居年级前列，提升集体凝聚力，同时带领班级获评校 “优秀班集体”。</w:t>
      </w:r>
    </w:p>
    <w:p w14:paraId="685CAACA">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支部建设：每学年组织主题团日活动 30 余次，组织开展大型红色剧本杀活动 3 次，团支部全体成员参与，带领团支部获评校 “五四红旗团支部”“五星级团支部”“优秀示范性团支部”“十佳品牌团支部”。</w:t>
      </w:r>
    </w:p>
    <w:p w14:paraId="371BA3F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青年志愿者协会 企划外联部副部长</w:t>
      </w:r>
    </w:p>
    <w:p w14:paraId="348F3D3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bdr w:val="none" w:color="auto" w:sz="0" w:space="0"/>
          <w:lang w:val="en-US" w:eastAsia="zh-CN" w:bidi="ar"/>
        </w:rPr>
        <w:t>2024.03—2025.03</w:t>
      </w:r>
    </w:p>
    <w:p w14:paraId="28A0D5A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活动策划：主导策划 “雷锋精神永在”“环境保护” 等志愿活动 10 + 场，累计参与志愿者 250 + 人、服务人次 1000+。</w:t>
      </w:r>
    </w:p>
    <w:p w14:paraId="501DE459">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资源协调：对接跨学院组织，统筹活动物资与人员安排，与校外各学校、企业联合开展活动，保障志愿活动顺利落地。</w:t>
      </w:r>
    </w:p>
    <w:p w14:paraId="7BAAE517">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财务关联：负责活动预算编制与成本管控，将财务思维融入资源配置，提升活动执行效率，为校园活动筹集资金 3k+。</w:t>
      </w:r>
    </w:p>
    <w:p w14:paraId="7595BE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证书荣誉</w:t>
      </w:r>
    </w:p>
    <w:p w14:paraId="6A37125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专业证书</w:t>
      </w:r>
    </w:p>
    <w:p w14:paraId="007A05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bdr w:val="none" w:color="auto" w:sz="0" w:space="0"/>
          <w:lang w:val="en-US" w:eastAsia="zh-CN" w:bidi="ar"/>
        </w:rPr>
        <w:t>初级会计专业技术资格证书、英语四级、普通话一级乙等、中国红十字会救护证</w:t>
      </w:r>
    </w:p>
    <w:p w14:paraId="2406103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个人技能</w:t>
      </w:r>
    </w:p>
    <w:p w14:paraId="42048D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bdr w:val="none" w:color="auto" w:sz="0" w:space="0"/>
          <w:lang w:val="en-US" w:eastAsia="zh-CN" w:bidi="ar"/>
        </w:rPr>
        <w:t>熟练使用 Office，Excel 精通 VLOOKUP、数据透视表，PPT 商务排版；熟悉金蝶、用友财务软件操作</w:t>
      </w:r>
    </w:p>
    <w:p w14:paraId="7131246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荣誉奖项</w:t>
      </w:r>
    </w:p>
    <w:p w14:paraId="1A0E5E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bdr w:val="none" w:color="auto" w:sz="0" w:space="0"/>
          <w:lang w:val="en-US" w:eastAsia="zh-CN" w:bidi="ar"/>
        </w:rPr>
        <w:t>2025 年国家奖学金、2024 年国家励志奖学金、全国大学生英语翻译大赛省级一等奖、第二届新疆大学生科学文化辩论邀请赛省级亚军、全国大学生数字贸易综合能力大赛尼奥尼跨境直播赛省级二等奖、2023 年兵团未成年人心理健康辅导技能大赛兵团级三等奖、挑战杯校级二等奖、优秀学生干部、优秀学生</w:t>
      </w:r>
    </w:p>
    <w:p w14:paraId="0A9176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自我评价</w:t>
      </w:r>
    </w:p>
    <w:p w14:paraId="58E59CBF">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日前情况：大三在读，可进行寒假 1 个半月的实习，预计 1 月中旬可到岗，能坚守岗位完成工作，春节期间可正常到岗。</w:t>
      </w:r>
    </w:p>
    <w:p w14:paraId="4AC8C11E">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专业能力：精通会计核算、财务分析，可胜任审计实习的账务核查、底稿基础编制、数据核对等核心工作。</w:t>
      </w:r>
    </w:p>
    <w:p w14:paraId="7467B4F1">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综合能力：省级辩论赛亚军，具备较强的逻辑表达和沟通能力；担任班长和青协副部长，擅长团队协作和细节管控。</w:t>
      </w:r>
    </w:p>
    <w:p w14:paraId="139CE1A0">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职业素养：做事严谨负责，具备财务岗位所需的细心和合规意识，能快速适应财务 / 审计助理岗位的工作节奏。</w:t>
      </w:r>
    </w:p>
    <w:p w14:paraId="00BF328B">
      <w:bookmarkStart w:id="0" w:name="_GoBack"/>
      <w:bookmarkEnd w:id="0"/>
    </w:p>
    <w:sectPr>
      <w:footerReference r:id="rId5" w:type="default"/>
      <w:type w:val="continuous"/>
      <w:pgSz w:w="11900" w:h="16840"/>
      <w:pgMar w:top="540" w:right="566" w:bottom="420" w:left="283" w:header="0" w:footer="235"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C1777">
    <w:pPr>
      <w:pStyle w:val="5"/>
      <w:spacing w:line="14" w:lineRule="auto"/>
      <w:ind w:left="0"/>
      <w:rPr>
        <w:sz w:val="20"/>
      </w:rPr>
    </w:pPr>
    <w:r>
      <w:rPr>
        <w:sz w:val="20"/>
      </w:rPr>
      <mc:AlternateContent>
        <mc:Choice Requires="wps">
          <w:drawing>
            <wp:anchor distT="0" distB="0" distL="0" distR="0" simplePos="0" relativeHeight="251659264" behindDoc="1" locked="0" layoutInCell="1" allowOverlap="1">
              <wp:simplePos x="0" y="0"/>
              <wp:positionH relativeFrom="page">
                <wp:posOffset>201295</wp:posOffset>
              </wp:positionH>
              <wp:positionV relativeFrom="page">
                <wp:posOffset>10424160</wp:posOffset>
              </wp:positionV>
              <wp:extent cx="7172960" cy="1270"/>
              <wp:effectExtent l="0" t="0" r="0" b="0"/>
              <wp:wrapNone/>
              <wp:docPr id="1" name="Graphic 1"/>
              <wp:cNvGraphicFramePr/>
              <a:graphic xmlns:a="http://schemas.openxmlformats.org/drawingml/2006/main">
                <a:graphicData uri="http://schemas.microsoft.com/office/word/2010/wordprocessingShape">
                  <wps:wsp>
                    <wps:cNvSpPr/>
                    <wps:spPr>
                      <a:xfrm>
                        <a:off x="0" y="0"/>
                        <a:ext cx="7172959" cy="1270"/>
                      </a:xfrm>
                      <a:custGeom>
                        <a:avLst/>
                        <a:gdLst/>
                        <a:ahLst/>
                        <a:cxnLst/>
                        <a:rect l="l" t="t" r="r" b="b"/>
                        <a:pathLst>
                          <a:path w="7172959">
                            <a:moveTo>
                              <a:pt x="0" y="0"/>
                            </a:moveTo>
                            <a:lnTo>
                              <a:pt x="7172694" y="0"/>
                            </a:lnTo>
                          </a:path>
                        </a:pathLst>
                      </a:custGeom>
                      <a:ln w="14014">
                        <a:solidFill>
                          <a:srgbClr val="000000"/>
                        </a:solidFill>
                        <a:prstDash val="solid"/>
                      </a:ln>
                    </wps:spPr>
                    <wps:bodyPr wrap="square" lIns="0" tIns="0" rIns="0" bIns="0" rtlCol="0">
                      <a:noAutofit/>
                    </wps:bodyPr>
                  </wps:wsp>
                </a:graphicData>
              </a:graphic>
            </wp:anchor>
          </w:drawing>
        </mc:Choice>
        <mc:Fallback>
          <w:pict>
            <v:shape id="Graphic 1" o:spid="_x0000_s1026" o:spt="100" style="position:absolute;left:0pt;margin-left:15.85pt;margin-top:820.8pt;height:0.1pt;width:564.8pt;mso-position-horizontal-relative:page;mso-position-vertical-relative:page;z-index:-251657216;mso-width-relative:page;mso-height-relative:page;" filled="f" stroked="t" coordsize="7172959,1" o:gfxdata="UEsDBAoAAAAAAIdO4kAAAAAAAAAAAAAAAAAEAAAAZHJzL1BLAwQUAAAACACHTuJA5Z41mtsAAAAN&#10;AQAADwAAAGRycy9kb3ducmV2LnhtbE2PTU/DMAyG70j8h8hI3FgahkpVmk5iEkgcdmAbQty8xrRl&#10;jdM16T749WTiAEe/fvT6cTE72k7safCtYw1qkoAgrpxpudawXj3dZCB8QDbYOSYNJ/IwKy8vCsyN&#10;O/Ar7ZehFrGEfY4amhD6XEpfNWTRT1xPHHefbrAY4jjU0gx4iOW2k7dJkkqLLccLDfY0b6jaLker&#10;4e3x+2XhT++yH78+1rtsi4vn+U7r6yuVPIAIdAx/MJz1ozqU0WnjRjZedBqm6j6SMU/vVAriTKhU&#10;TUFsfrMMZFnI/1+UP1BLAwQUAAAACACHTuJAkTvSzBUCAAB7BAAADgAAAGRycy9lMm9Eb2MueG1s&#10;rVRNj9owEL1X6n+wfC8hiO4WRFhVi3ZVqWpX2u0PMI5DLPmrM4bAv+/YSYDSyx7KITx7Js/z5o2z&#10;ejhaww4KUHtX8XIy5Uw56WvtdhX/9fb06QtnGIWrhfFOVfykkD+sP35YdWGpZr71plbAiMThsgsV&#10;b2MMy6JA2SorcOKDchRsPFgRaQm7ogbREbs1xWw6vSs6D3UALxUi7W76IB8Y4T2Evmm0VBsv91a5&#10;2LOCMiKSJGx1QL7O1TaNkvFn06CKzFSclMb8pEMIb9OzWK/EcgcitFoOJYj3lHCjyQrt6NAz1UZE&#10;wfag/6GyWoJH38SJ9LboheSOkIpyetOb11YElbVQqzGcm47/j1b+OLwA0zVNAmdOWDL8eehGmZrT&#10;BVxSzmt4gWGFBJPSYwM2/ZMGdswNPZ0bqo6RSdq8L+9ni88LziTFytl97ndxeVfuMT4rn3nE4TvG&#10;3o56RKIdkTy6EQKZmuw02c7IGdkJ2c5tb2cQMb2XikuQdZdC0p71B/XmczTeVE6lXaLGXWclKXeL&#10;OWejSsrtMwikY9arAeSjCV+LMy5VUc6n5TyPCXqj6ydtTCoDYbd9NMAOIg1p/iUhRPFXWgCMG4Ft&#10;n5dDQ5pxlJ2c6r1JaOvrExnbkZcVx997AYoz883R6KRrMAIYwXYEEM2jz5clleb81330jU7G5BN6&#10;3mFBM5nLHO5PGvrrdc66fDPW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lnjWa2wAAAA0BAAAP&#10;AAAAAAAAAAEAIAAAACIAAABkcnMvZG93bnJldi54bWxQSwECFAAUAAAACACHTuJAkTvSzBUCAAB7&#10;BAAADgAAAAAAAAABACAAAAAqAQAAZHJzL2Uyb0RvYy54bWxQSwUGAAAAAAYABgBZAQAAsQUAAAAA&#10;" path="m0,0l7172694,0e">
              <v:fill on="f" focussize="0,0"/>
              <v:stroke weight="1.10346456692913pt" color="#000000" joinstyle="round"/>
              <v:imagedata o:title=""/>
              <o:lock v:ext="edit" aspectratio="f"/>
              <v:textbox inset="0mm,0mm,0mm,0mm"/>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D59319"/>
    <w:multiLevelType w:val="multilevel"/>
    <w:tmpl w:val="AFD593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36F5A41"/>
    <w:multiLevelType w:val="multilevel"/>
    <w:tmpl w:val="E36F5A4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CF7C4D1"/>
    <w:multiLevelType w:val="multilevel"/>
    <w:tmpl w:val="0CF7C4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37082E38"/>
    <w:multiLevelType w:val="multilevel"/>
    <w:tmpl w:val="37082E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47A2292F"/>
    <w:multiLevelType w:val="multilevel"/>
    <w:tmpl w:val="47A229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7FB988F8"/>
    <w:multiLevelType w:val="multilevel"/>
    <w:tmpl w:val="7FB988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3"/>
  </w:num>
  <w:num w:numId="3">
    <w:abstractNumId w:val="2"/>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compatSetting w:name="compatibilityMode" w:uri="http://schemas.microsoft.com/office/word" w:val="14"/>
  </w:compat>
  <w:rsids>
    <w:rsidRoot w:val="00000000"/>
    <w:rsid w:val="6A962E5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nhideWhenUsed/>
    <w:qFormat/>
    <w:uiPriority w:val="1"/>
  </w:style>
  <w:style w:type="table" w:default="1" w:styleId="7">
    <w:name w:val="Normal Table"/>
    <w:semiHidden/>
    <w:uiPriority w:val="0"/>
    <w:tblPr>
      <w:tblCellMar>
        <w:top w:w="0" w:type="dxa"/>
        <w:left w:w="108" w:type="dxa"/>
        <w:bottom w:w="0" w:type="dxa"/>
        <w:right w:w="108" w:type="dxa"/>
      </w:tblCellMar>
    </w:tblPr>
  </w:style>
  <w:style w:type="paragraph" w:styleId="5">
    <w:name w:val="Body Text"/>
    <w:basedOn w:val="1"/>
    <w:qFormat/>
    <w:uiPriority w:val="1"/>
    <w:pPr>
      <w:ind w:left="436"/>
    </w:pPr>
    <w:rPr>
      <w:rFonts w:ascii="宋体" w:hAnsi="宋体" w:eastAsia="宋体" w:cs="宋体"/>
      <w:sz w:val="24"/>
      <w:szCs w:val="24"/>
      <w:lang w:val="en-US" w:eastAsia="zh-CN" w:bidi="ar-SA"/>
    </w:rPr>
  </w:style>
  <w:style w:type="paragraph" w:styleId="6">
    <w:name w:val="Title"/>
    <w:basedOn w:val="1"/>
    <w:qFormat/>
    <w:uiPriority w:val="1"/>
    <w:pPr>
      <w:spacing w:line="455" w:lineRule="exact"/>
      <w:ind w:left="304"/>
    </w:pPr>
    <w:rPr>
      <w:rFonts w:ascii="Microsoft JhengHei" w:hAnsi="Microsoft JhengHei" w:eastAsia="Microsoft JhengHei" w:cs="Microsoft JhengHei"/>
      <w:b/>
      <w:bCs/>
      <w:sz w:val="46"/>
      <w:szCs w:val="46"/>
      <w:lang w:val="en-US" w:eastAsia="zh-CN" w:bidi="ar-SA"/>
    </w:rPr>
  </w:style>
  <w:style w:type="character" w:styleId="9">
    <w:name w:val="Strong"/>
    <w:basedOn w:val="8"/>
    <w:qFormat/>
    <w:uiPriority w:val="0"/>
    <w:rPr>
      <w:b/>
    </w:rPr>
  </w:style>
  <w:style w:type="table" w:customStyle="1" w:styleId="10">
    <w:name w:val="Table Normal"/>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rPr>
      <w:lang w:val="en-US" w:eastAsia="zh-CN" w:bidi="ar-SA"/>
    </w:rPr>
  </w:style>
  <w:style w:type="paragraph" w:customStyle="1" w:styleId="12">
    <w:name w:val="Table Paragraph"/>
    <w:basedOn w:val="1"/>
    <w:qFormat/>
    <w:uiPriority w:val="1"/>
    <w:rPr>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1691</Words>
  <Characters>1873</Characters>
  <TotalTime>2</TotalTime>
  <ScaleCrop>false</ScaleCrop>
  <LinksUpToDate>false</LinksUpToDate>
  <CharactersWithSpaces>2029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2026-01-20T03:47:00Z</dcterms:created>
  <dc:creator>jiayuan</dc:creator>
  <cp:lastModifiedBy>WPS_1569973465</cp:lastModifiedBy>
  <dcterms:modified xsi:type="dcterms:W3CDTF">2026-01-20T04:28:17Z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2026-01-20T00:00:00Z</vt:filetime>
  </property>
  <property fmtid="{D5CDD505-2E9C-101B-9397-08002B2CF9AE}" pid="3" name="LastSaved">
    <vt:filetime>2026-01-20T00:00:00Z</vt:filetime>
  </property>
  <property fmtid="{D5CDD505-2E9C-101B-9397-08002B2CF9AE}" pid="4" name="Producer">
    <vt:lpwstr>3-Heights(TM) PDF Security Shell 4.8.25.2 (http://www.pdf-tools.com)</vt:lpwstr>
  </property>
  <property fmtid="{D5CDD505-2E9C-101B-9397-08002B2CF9AE}" pid="5" name="KSOTemplateDocerSaveRecord">
    <vt:lpwstr>eyJoZGlkIjoiNmY1MTBhZGYyOWE2MDMyZjkzMDQ0ZjI2NGNlZDBlNTgiLCJ1c2VySWQiOiI2Nzk2MjQ1NTEifQ==</vt:lpwstr>
  </property>
  <property fmtid="{D5CDD505-2E9C-101B-9397-08002B2CF9AE}" pid="6" name="KSOProductBuildVer">
    <vt:lpwstr>2052-12.1.0.24657</vt:lpwstr>
  </property>
  <property fmtid="{D5CDD505-2E9C-101B-9397-08002B2CF9AE}" pid="7" name="ICV">
    <vt:lpwstr>0FB8A7D44F664D0786B96285AEB31370_12</vt:lpwstr>
  </property>
</Properties>
</file>