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jpg" ContentType="image/png"/>
  <Override PartName="/word/media/image10.jpg" ContentType="image/png"/>
  <Override PartName="/word/media/image11.jpg" ContentType="image/png"/>
  <Override PartName="/word/media/image12.jpg" ContentType="image/png"/>
  <Override PartName="/word/media/image13.jpg" ContentType="image/png"/>
  <Override PartName="/word/media/image14.jpg" ContentType="image/png"/>
  <Override PartName="/word/media/image15.jpg" ContentType="image/png"/>
  <Override PartName="/word/media/image16.jpg" ContentType="image/png"/>
  <Override PartName="/word/media/image17.jpg" ContentType="image/png"/>
  <Override PartName="/word/media/image18.jpg" ContentType="image/png"/>
  <Override PartName="/word/media/image19.jpg" ContentType="image/png"/>
  <Override PartName="/word/media/image2.jpg" ContentType="image/png"/>
  <Override PartName="/word/media/image20.jpg" ContentType="image/png"/>
  <Override PartName="/word/media/image21.jpg" ContentType="image/png"/>
  <Override PartName="/word/media/image22.jpg" ContentType="image/png"/>
  <Override PartName="/word/media/image23.jpg" ContentType="image/png"/>
  <Override PartName="/word/media/image24.jpg" ContentType="image/png"/>
  <Override PartName="/word/media/image25.jpg" ContentType="image/png"/>
  <Override PartName="/word/media/image26.jpg" ContentType="image/png"/>
  <Override PartName="/word/media/image27.jpg" ContentType="image/png"/>
  <Override PartName="/word/media/image28.jpg" ContentType="image/png"/>
  <Override PartName="/word/media/image29.jpg" ContentType="image/png"/>
  <Override PartName="/word/media/image3.jpg" ContentType="image/png"/>
  <Override PartName="/word/media/image30.jpg" ContentType="image/png"/>
  <Override PartName="/word/media/image31.jpg" ContentType="image/png"/>
  <Override PartName="/word/media/image32.jpg" ContentType="image/png"/>
  <Override PartName="/word/media/image33.jpg" ContentType="image/png"/>
  <Override PartName="/word/media/image34.jpg" ContentType="image/png"/>
  <Override PartName="/word/media/image35.jpg" ContentType="image/png"/>
  <Override PartName="/word/media/image36.jpg" ContentType="image/png"/>
  <Override PartName="/word/media/image37.jpg" ContentType="image/png"/>
  <Override PartName="/word/media/image38.jpg" ContentType="image/png"/>
  <Override PartName="/word/media/image39.jpg" ContentType="image/png"/>
  <Override PartName="/word/media/image4.jpg" ContentType="image/png"/>
  <Override PartName="/word/media/image40.jpg" ContentType="image/png"/>
  <Override PartName="/word/media/image41.jpg" ContentType="image/png"/>
  <Override PartName="/word/media/image42.jpg" ContentType="image/png"/>
  <Override PartName="/word/media/image43.jpg" ContentType="image/png"/>
  <Override PartName="/word/media/image44.jpg" ContentType="image/png"/>
  <Override PartName="/word/media/image45.jpg" ContentType="image/png"/>
  <Override PartName="/word/media/image46.jpg" ContentType="image/png"/>
  <Override PartName="/word/media/image47.jpg" ContentType="image/png"/>
  <Override PartName="/word/media/image48.jpg" ContentType="image/png"/>
  <Override PartName="/word/media/image49.jpg" ContentType="image/png"/>
  <Override PartName="/word/media/image5.jpg" ContentType="image/png"/>
  <Override PartName="/word/media/image50.jpg" ContentType="image/png"/>
  <Override PartName="/word/media/image51.jpg" ContentType="image/png"/>
  <Override PartName="/word/media/image52.jpg" ContentType="image/png"/>
  <Override PartName="/word/media/image53.jpg" ContentType="image/png"/>
  <Override PartName="/word/media/image54.jpg" ContentType="image/png"/>
  <Override PartName="/word/media/image55.jpg" ContentType="image/png"/>
  <Override PartName="/word/media/image56.jpg" ContentType="image/png"/>
  <Override PartName="/word/media/image57.jpg" ContentType="image/png"/>
  <Override PartName="/word/media/image58.jpg" ContentType="image/png"/>
  <Override PartName="/word/media/image6.jpg" ContentType="image/png"/>
  <Override PartName="/word/media/image7.jpg" ContentType="image/png"/>
  <Override PartName="/word/media/image8.jpg" ContentType="image/png"/>
  <Override PartName="/word/media/image9.jp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rFonts w:ascii="Montserrat" w:hAnsi="Montserrat"/>
          <w:b/>
          <w:sz w:val="36"/>
          <w:rFonts w:ascii="Montserrat" w:hAnsi="Montserrat"/>
        </w:rPr>
        <w:t>Summary</w:t>
      </w:r>
    </w:p>
    <w:p>
      <w:r>
        <w:br/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/>
        </w:trPr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astyea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Last Year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l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</w:rPr>
              <w:br/>
              <w:t xml:space="preserve"> vs. Plan</w:t>
            </w:r>
          </w:p>
        </w:tc>
      </w:tr>
      <w:tr>
        <w:trPr>
          <w:trHeight w:val="576"/>
        </w:trPr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Metric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Net/Gross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Reporting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Previous Week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YTD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s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-8.4%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-8.9%</w:t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venu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Revenue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$1.8M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+0.2%</w:t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$1.9M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ormalized Tickets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t>Normalized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Gross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Daily Active Users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1.9M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/>
        </w:trPr>
        <w:tc>
          <w:tcPr>
            <w:tcW w:type="dxa" w:w="1152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017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sa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01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 xml:space="preserve"> Market Share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+1.37%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B2B, Package, Express Deals, Phone Sales)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Normalized tickets are counted the same as tickets, except split tickets count as 1 instead of 2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Refunds are assigned to refund date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Revenue is contribution w/fee + GDS incentives.  Does not include package or phone sales.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Daily Active Users: engaged customers in GA4</w:t>
      </w:r>
    </w:p>
    <w:p>
      <w:pPr>
        <w:pStyle w:val="ListBullet"/>
        <w:numPr>
          <w:ilvl w:val="0"/>
          <w:numId w:val="1"/>
        </w:numPr>
      </w:pPr>
      <w:r>
        <w:rPr>
          <w:rFonts w:ascii="Montserrat" w:hAnsi="Montserrat"/>
          <w:b w:val="0"/>
          <w:sz w:val="14"/>
          <w:rFonts w:ascii="Montserrat" w:hAnsi="Montserrat"/>
        </w:rPr>
        <w:t>TSA market share: travel date; numerator counts all slices (OW is 1 slice; RT is 2 slices) where the first segment is either US domestic or US outbound (Priceline-only); denominator includes all people passing through TSA screening machines</w:t>
      </w:r>
    </w:p>
    <w:p>
      <w:r>
        <w:rPr>
          <w:rFonts w:ascii="Montserrat" w:hAnsi="Montserrat"/>
          <w:b/>
          <w:sz w:val="36"/>
          <w:rFonts w:ascii="Montserrat" w:hAnsi="Montserrat"/>
        </w:rPr>
        <w:t>Total Business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172K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155K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-18.3%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All Priceline tickets (includes Express Deals and Phone Sales,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>Priceline B2C Standalone - Detail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-45.6%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+16143.3%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+26952.8%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+16481.4%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+27354.7%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-62.7%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-58.0%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-62.7%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+37.9%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+208.8%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+251.9%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131K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-18.4%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-27.2%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-23.1%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+59.7%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18K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+237.1%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+105.2%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45K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102K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-13.5%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r>
        <w:rPr>
          <w:rFonts w:ascii="Montserrat" w:hAnsi="Montserrat"/>
          <w:b/>
          <w:sz w:val="36"/>
          <w:rFonts w:ascii="Montserrat" w:hAnsi="Montserrat"/>
        </w:rPr>
        <w:t xml:space="preserve">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 Tickets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-90.0%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67K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79K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19K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-30.2%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147K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-20.4%</w:t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Other Metrics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rPr>
          <w:trHeight w:val="576" w:hRule="exact"/>
        </w:trPr>
        <w:tc>
          <w:tcPr>
            <w:tcW w:type="dxa" w:w="1440"/>
            <w:gridSpan w:val="3"/>
            <w:vMerge w:val="restart"/>
            <w:shd w:val="clear" w:fill="FFFFFF"/>
          </w:tcPr>
          <w:p/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4754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47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56032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2880"/>
            <w:gridSpan w:val="3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Actual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(bps)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YoY PW (bps)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 Share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Market Share</w:t>
            </w:r>
          </w:p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548640" cy="2286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8912" cy="19202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celin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23774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goda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2377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73152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.com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731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457200" cy="109728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HI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idt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MIDT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SEM Impressions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11.3%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rity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Parity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8288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dia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Direct vs Expedia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94.4%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21031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210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Kayak Placement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22.0%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+1300</w:t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097280" cy="19202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Skyscanner Placement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34.0%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+1330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19.8%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+940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+1760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are of Business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Share of Business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soutbound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US Outbound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8.0%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152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rchant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Merchant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Retail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16.0%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  <w:rFonts w:ascii="Montserrat" w:hAnsi="Montserrat"/>
              </w:rPr>
              <w:t>Total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23.3%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als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Deals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32.0%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oduct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Product</w:t>
            </w:r>
          </w:p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Conversion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4.4%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Bookability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74.7%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+190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ability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Upsell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16.7%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+590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oking_rate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Booking rate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93.9%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960"/>
            <w:vMerge/>
            <w:shd w:val="clear" w:fill="FFFFFF"/>
          </w:tcPr>
          <w:p/>
        </w:tc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cket_order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color w:val="000000"/>
                <w:sz w:val="14"/>
                <w:rFonts w:ascii="Montserrat" w:hAnsi="Montserrat"/>
              </w:rPr>
              <w:br/>
              <w:t>Tickets/order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1.46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440"/>
            <w:shd w:val="clear" w:fill="FFFFFF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ARC market share: OTA only, US POS, does not include NK/F9/SY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SEM impression share: percentage of eligible impressions we show at the absolute top of the ads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Direct parity vs Expedia: US origins, win+tie rate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Kayak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Skyscanner placement: US origins, availability in the top 4 positions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US outbound share: ticket share for US origins, international destinations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Merchant share: ticket share where Priceline is merchant of record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Deal share: share of tickets sold as a deal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Conversion: GA4, converted customers / engaged customers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Bookability: acceptance rate, includes multiple attempts by same user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Upsell: share of tickets upsold when there was an upsell opportunity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Booking rate: net tickets/gross tickets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Tickets/order: net tickets/net orders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t>ROI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W w:w="2500" w:type="pct"/>
      </w:tblPr>
      <w:tblGrid>
        <w:gridCol w:w="1440"/>
        <w:gridCol w:w="1440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rPr>
          <w:trHeight w:val="576" w:hRule="exact"/>
        </w:trPr>
        <w:tc>
          <w:tcPr>
            <w:tcW w:type="dxa" w:w="1440"/>
            <w:gridSpan w:val="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u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version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gridSpan w:val="3"/>
            <w:shd w:val="clear" w:fill="FFFFFF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" cy="36576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i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76" w:hRule="exact"/>
        </w:trPr>
        <w:tc>
          <w:tcPr>
            <w:tcW w:type="dxa" w:w="1570"/>
            <w:gridSpan w:val="2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DAU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Conversion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ROI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771K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5.7%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Core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Core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443K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4.1%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1.10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+11.8%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 Brand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SEM Brand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134K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6.8%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6.19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+2.7%</w:t>
            </w:r>
          </w:p>
        </w:tc>
      </w:tr>
      <w:tr>
        <w:trPr>
          <w:trHeight w:val="576" w:hRule="exact"/>
        </w:trPr>
        <w:tc>
          <w:tcPr>
            <w:tcW w:type="dxa" w:w="1440"/>
            <w:vMerge w:val="restart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09728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eapflights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276K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0.85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-13.7%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31089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oogle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3108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+171.4%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+227.9%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7373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Kayak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150K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+249.7%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+198.2%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1.7%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-47.3%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1.29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+46.6%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-18.4%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914400" cy="164592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kyscanner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164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18.4%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+17.1%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1.08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+6.3%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</w:tr>
      <w:tr>
        <w:trPr>
          <w:trHeight w:val="576" w:hRule="exact"/>
        </w:trPr>
        <w:tc>
          <w:tcPr>
            <w:tcW w:type="dxa" w:w="785"/>
            <w:vMerge/>
            <w:shd w:val="clear" w:fill="FFFFFF"/>
          </w:tcPr>
          <w:p/>
        </w:tc>
        <w:tc>
          <w:tcPr>
            <w:tcW w:type="dxa" w:w="1440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118K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-5.9%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-12.5%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1.24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-23.6%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-33.8%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13K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+75.1%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+43.2%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color w:val="000000"/>
                <w:sz w:val="20"/>
                <w:rFonts w:ascii="Montserrat" w:hAnsi="Montserrat"/>
              </w:rPr>
              <w:t>15.0%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-7.4%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-0.8%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6.48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+180.1%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+242.0%</w:t>
            </w:r>
          </w:p>
        </w:tc>
      </w:tr>
      <w:tr>
        <w:trPr>
          <w:trHeight w:val="576" w:hRule="exact"/>
        </w:trPr>
        <w:tc>
          <w:tcPr>
            <w:tcW w:type="dxa" w:w="1440"/>
            <w:gridSpan w:val="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</w:p>
        </w:tc>
      </w:tr>
    </w:tbl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Priceline (including phone sales), B2C, Standalone (includes Express Deals, not normalized)</w:t>
      </w:r>
    </w:p>
    <w:p>
      <w:pPr>
        <w:pStyle w:val="ListBullet"/>
      </w:pPr>
      <w:r>
        <w:rPr>
          <w:rFonts w:ascii="Montserrat" w:hAnsi="Montserrat"/>
          <w:b w:val="0"/>
          <w:sz w:val="14"/>
          <w:rFonts w:ascii="Montserrat" w:hAnsi="Montserrat"/>
        </w:rPr>
        <w:t>Indirect Connect = GDS + Aggregators + Consolidators + NDC-X</w:t>
      </w:r>
    </w:p>
    <w:p>
      <w:r>
        <w:br/>
      </w:r>
    </w:p>
    <w:p>
      <w:r>
        <w:rPr>
          <w:rFonts w:ascii="Montserrat" w:hAnsi="Montserrat"/>
          <w:b/>
          <w:sz w:val="36"/>
          <w:rFonts w:ascii="Montserrat" w:hAnsi="Montserrat"/>
        </w:rPr>
        <w:br/>
        <w:t>Total Business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65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Business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Standalone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ack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Package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C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257K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2B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B2B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+107.8%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+38.2%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-48.9%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-55.8%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323K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-10.8%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-26.1%</w:t>
            </w:r>
          </w:p>
        </w:tc>
      </w:tr>
    </w:tbl>
    <w:p>
      <w:r>
        <w:rPr>
          <w:rFonts w:ascii="Montserrat" w:hAnsi="Montserrat"/>
          <w:b/>
          <w:sz w:val="36"/>
          <w:rFonts w:ascii="Montserrat" w:hAnsi="Montserrat"/>
        </w:rPr>
        <w:br/>
        <w:t>Priceline B2C Standalone - Net Contr+fee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237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Carrier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etail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Retail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ress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Express Deals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71600" cy="192024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merican Airlines (AA)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-68.1%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-92.7%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238K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-63.6%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-80.4%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lta Air Lines (DL)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-32.9%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-42.5%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-38.7%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2286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ted Airlines (UA)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107K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+16.2%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646K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754K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+20.6%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80160" cy="192024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thwest Airlines (WN)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1920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14400" cy="246888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pirit Airlines (NK)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105K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+23.5%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+10.3%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05840" cy="2194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ontier Airlines (F9)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+74.2%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31520" cy="2286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laska Airlines (AS)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12K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-11.3%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182K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+8.2%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-1.9%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" cy="2286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etBlue Airways (B6)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+131.0%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+56.0%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54K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+132.0%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+57.7%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182880" cy="18288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Other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" cy="1828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Other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113K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-19.6%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+221.4%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+216.2%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123K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-14.0%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786K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878K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-16.2%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-24.9%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Channel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pp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App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Web Desktop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Web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346K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-21.5%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240K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-22.9%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586K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-14.7%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 Marketing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Web Marketing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+68.4%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+49.2%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634K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-29.6%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731K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-23.7%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op PPC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Shop PPC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73K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-15.9%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-25.4%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175K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248K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-25.8%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filiate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Affiliate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+114.6%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+143.8%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-17.7%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-39.6%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98K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-16.4%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-37.8%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518K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-0.6%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-14.0%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-15.0%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-31.8%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</w:tblPr>
      <w:tblGrid>
        <w:gridCol w:w="1440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rHeight w:val="576" w:hRule="exact"/>
        </w:trPr>
        <w:tc>
          <w:tcPr>
            <w:tcW w:type="dxa" w:w="1152"/>
            <w:vMerge w:val="restart"/>
            <w:shd w:val="clear" w:fill="FFFFFF"/>
            <w:top w:val="nil" w:color="FFFFFF"/>
            <w:bottom w:val="nil" w:color="FFFFFF"/>
            <w:left w:val="nil" w:color="FFFFFF"/>
            <w:right w:val="nil" w:color="FFFFFF"/>
            <w:vAlign w:val="bottom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8"/>
                <w:rFonts w:ascii="Montserrat" w:hAnsi="Montserrat"/>
              </w:rPr>
              <w:t>Source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ublished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Published</w:t>
            </w:r>
          </w:p>
        </w:tc>
        <w:tc>
          <w:tcPr>
            <w:tcW w:type="dxa" w:w="1152"/>
            <w:gridSpan w:val="3"/>
            <w:shd w:val="clear" w:fill="FFFFFF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t xml:space="preserve">
</w:t>
              <w:t xml:space="preserve">
</w:t>
              <w:drawing>
                <wp:inline xmlns:a="http://schemas.openxmlformats.org/drawingml/2006/main" xmlns:pic="http://schemas.openxmlformats.org/drawingml/2006/picture">
                  <wp:extent cx="365760" cy="365760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vate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/>
                <w:sz w:val="14"/>
                <w:rFonts w:ascii="Montserrat" w:hAnsi="Montserrat"/>
                <w:rFonts w:ascii="Montserrat" w:hAnsi="Montserrat"/>
              </w:rPr>
              <w:br/>
              <w:t>Private</w:t>
            </w:r>
          </w:p>
        </w:tc>
        <w:tc>
          <w:tcPr>
            <w:tcW w:type="dxa" w:w="1152"/>
            <w:gridSpan w:val="3"/>
            <w:shd w:val="clear" w:fill="FFFFFF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t xml:space="preserve"> </w:t>
            </w:r>
            <w:r>
              <w:rPr>
                <w:rFonts w:ascii="Montserrat" w:hAnsi="Montserrat"/>
                <w:b/>
                <w:sz w:val="20"/>
                <w:rFonts w:ascii="Montserrat" w:hAnsi="Montserrat"/>
                <w:rFonts w:ascii="Montserrat" w:hAnsi="Montserrat"/>
              </w:rPr>
              <w:br/>
              <w:t>Total</w:t>
            </w:r>
          </w:p>
        </w:tc>
      </w:tr>
      <w:tr>
        <w:trPr>
          <w:trHeight w:val="576" w:hRule="exact"/>
        </w:trPr>
        <w:tc>
          <w:tcPr>
            <w:tcW w:type="dxa" w:w="864"/>
            <w:vMerge/>
            <w:shd w:val="clear" w:fill="FFFFFF"/>
            <w:top w:val="nil" w:color="FFFFFF"/>
            <w:bottom w:val="nil" w:color="FFFFFF"/>
            <w:left w:val="nil" w:color="FFFFFF"/>
            <w:right w:val="nil" w:color="FFFFFF"/>
          </w:tcPr>
          <w:p/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net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</w:t>
            </w:r>
          </w:p>
        </w:tc>
        <w:tc>
          <w:tcPr>
            <w:tcW w:type="dxa" w:w="1152"/>
            <w:shd w:val="clear" w:fill="FFFFFF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YoY PW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irect Connect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431K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-36.8%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33K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-84.6%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465K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-34.3%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-53.4%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direct Connect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Indirect Connect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276K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-12.6%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-28.0%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923K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+9.2%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-4.1%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1M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6AA84F"/>
                <w:sz w:val="20"/>
                <w:rFonts w:ascii="Montserrat" w:hAnsi="Montserrat"/>
              </w:rPr>
              <w:t>+3.3%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-10.6%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14"/>
                <w:rFonts w:ascii="Montserrat" w:hAnsi="Montserrat"/>
                <w:rFonts w:ascii="Montserrat" w:hAnsi="Montserrat"/>
              </w:rPr>
              <w:drawing>
                <wp:inline xmlns:a="http://schemas.openxmlformats.org/drawingml/2006/main" xmlns:pic="http://schemas.openxmlformats.org/drawingml/2006/picture">
                  <wp:extent cx="365760" cy="365760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ne Sales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3657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ontserrat" w:hAnsi="Montserrat"/>
                <w:b w:val="0"/>
                <w:sz w:val="14"/>
                <w:rFonts w:ascii="Montserrat" w:hAnsi="Montserrat"/>
              </w:rPr>
              <w:br/>
              <w:t>Phone Sales</w:t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  <w:top w:val="nil" w:color="FFFFFF"/>
            <w:bottom w:val="nil" w:color="FFFFFF"/>
            <w:left w:val="nil" w:color="FFFFFF"/>
            <w:right w:val="nil" w:color="FFFFFF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 w:val="0"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vAlign w:val="center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&lt;1K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000000"/>
                <w:sz w:val="20"/>
                <w:rFonts w:ascii="Montserrat" w:hAnsi="Montserrat"/>
              </w:rPr>
              <w:t>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-inf%</w:t>
            </w:r>
          </w:p>
        </w:tc>
      </w:tr>
      <w:tr>
        <w:trPr>
          <w:trHeight w:val="576" w:hRule="exact"/>
        </w:trPr>
        <w:tc>
          <w:tcPr>
            <w:tcW w:type="dxa" w:w="1152"/>
            <w:vAlign w:val="center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</w: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Total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707K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-12.3%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-33.3%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957K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-9.9%</w:t>
            </w:r>
          </w:p>
        </w:tc>
        <w:tc>
          <w:tcPr>
            <w:tcW w:type="dxa" w:w="1152"/>
            <w:vAlign w:val="center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-21.9%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sz w:val="20"/>
                <w:rFonts w:ascii="Montserrat" w:hAnsi="Montserrat"/>
              </w:rPr>
              <w:t>2M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-11.0%</w:t>
            </w:r>
          </w:p>
        </w:tc>
        <w:tc>
          <w:tcPr>
            <w:tcW w:type="dxa" w:w="1152"/>
            <w:vAlign w:val="center"/>
            <w:shd w:fill="D3D3D3"/>
            <w:shd w:fill="D3D3D3"/>
            <w:shd w:fill="D3D3D3"/>
          </w:tcPr>
          <w:p>
            <w:pPr>
              <w:jc w:val="center"/>
            </w:pPr>
            <w:r>
              <w:rPr>
                <w:rFonts w:ascii="Montserrat" w:hAnsi="Montserrat"/>
                <w:b/>
                <w:color w:val="FF0000"/>
                <w:sz w:val="20"/>
                <w:rFonts w:ascii="Montserrat" w:hAnsi="Montserrat"/>
              </w:rPr>
              <w:t>-26.8%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