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3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134"/>
        </w:trPr>
        <w:tc>
          <w:tcPr>
            <w:tcW w:type="dxa" w:w="5669"/>
            <w:gridSpan w:val="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46898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89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  <w:gridSpan w:val="2"/>
          </w:tcPr>
          <w:p>
            <w:pPr>
              <w:jc w:val="center"/>
            </w:pPr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 xml:space="preserve"> vs. Last Year</w:t>
            </w:r>
          </w:p>
        </w:tc>
        <w:tc>
          <w:tcPr>
            <w:tcW w:type="dxa" w:w="5669"/>
            <w:gridSpan w:val="5"/>
          </w:tcPr>
          <w:p>
            <w:pPr>
              <w:jc w:val="center"/>
            </w:pPr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 xml:space="preserve"> vs. Plan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r>
              <w:rPr>
                <w:b/>
                <w:sz w:val="30"/>
              </w:rPr>
              <w:t>Metric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Net/Gross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Actual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Reporting Week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Previous Week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Reporting Week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Previous Week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MTD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QTD</w:t>
            </w:r>
          </w:p>
        </w:tc>
        <w:tc>
          <w:tcPr>
            <w:tcW w:type="dxa" w:w="5669"/>
          </w:tcPr>
          <w:p>
            <w:r>
              <w:rPr>
                <w:b/>
                <w:sz w:val="30"/>
              </w:rPr>
              <w:t>YTD</w:t>
            </w:r>
          </w:p>
        </w:tc>
      </w:tr>
      <w:tr>
        <w:trPr>
          <w:trHeight w:val="1134"/>
        </w:trPr>
        <w:tc>
          <w:tcPr>
            <w:tcW w:type="dxa" w:w="5669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30"/>
              </w:rPr>
              <w:t>Net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192K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8.2%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14.7%</w:t>
            </w:r>
          </w:p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</w:tr>
      <w:tr>
        <w:trPr>
          <w:trHeight w:val="1134"/>
        </w:trPr>
        <w:tc>
          <w:tcPr>
            <w:tcW w:type="dxa" w:w="864"/>
            <w:vMerge/>
          </w:tcPr>
          <w:p/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30"/>
              </w:rPr>
              <w:t>Gross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204K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5.6%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11.9%</w:t>
            </w:r>
          </w:p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</w:tr>
      <w:tr>
        <w:trPr>
          <w:trHeight w:val="1134"/>
        </w:trPr>
        <w:tc>
          <w:tcPr>
            <w:tcW w:type="dxa" w:w="5669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Revenue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30"/>
              </w:rPr>
              <w:t>Net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2M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10.4%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30.3%</w:t>
            </w:r>
          </w:p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</w:tr>
      <w:tr>
        <w:trPr>
          <w:trHeight w:val="1134"/>
        </w:trPr>
        <w:tc>
          <w:tcPr>
            <w:tcW w:type="dxa" w:w="864"/>
            <w:vMerge/>
          </w:tcPr>
          <w:p/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30"/>
              </w:rPr>
              <w:t>Gross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2M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10.0%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27.2%</w:t>
            </w:r>
          </w:p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</w:tr>
      <w:tr>
        <w:trPr>
          <w:trHeight w:val="1134"/>
        </w:trPr>
        <w:tc>
          <w:tcPr>
            <w:tcW w:type="dxa" w:w="5669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Normalized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30"/>
              </w:rPr>
              <w:t>Net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165K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7.1%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13.6%</w:t>
            </w:r>
          </w:p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</w:tr>
      <w:tr>
        <w:trPr>
          <w:trHeight w:val="1134"/>
        </w:trPr>
        <w:tc>
          <w:tcPr>
            <w:tcW w:type="dxa" w:w="864"/>
            <w:vMerge/>
          </w:tcPr>
          <w:p/>
        </w:tc>
        <w:tc>
          <w:tcPr>
            <w:tcW w:type="dxa" w:w="5669"/>
          </w:tcPr>
          <w:p>
            <w:pPr>
              <w:jc w:val="center"/>
            </w:pPr>
            <w:r>
              <w:rPr>
                <w:sz w:val="30"/>
              </w:rPr>
              <w:t>Gross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175K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5.9%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color w:val="32A852"/>
              </w:rPr>
              <w:t>12.2%</w:t>
            </w:r>
          </w:p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  <w:tc>
          <w:tcPr>
            <w:tcW w:type="dxa" w:w="5669"/>
          </w:tcPr>
          <w:p/>
        </w:tc>
      </w:tr>
    </w:tbl>
    <w:p/>
    <w:p>
      <w:pPr>
        <w:pStyle w:val="ListBullet"/>
      </w:pPr>
      <w:r>
        <w:t>All Priceline tickets (includes B2B, Package and Express Deals)</w:t>
      </w:r>
    </w:p>
    <w:p>
      <w:pPr>
        <w:pStyle w:val="ListBullet"/>
      </w:pPr>
      <w:r>
        <w:t>Normalized tickets are counted the same as tickets, except split tickets count as 1 instead of 2</w:t>
      </w:r>
    </w:p>
    <w:p>
      <w:r>
        <w:t>Refunds are assigned to refund date</w:t>
      </w:r>
    </w:p>
    <w:p>
      <w:pPr>
        <w:pStyle w:val="ListBullet"/>
      </w:pPr>
      <w:r>
        <w:t>Revenue includes commission/margin/seats/bags/Wenrix.  Does not include insurance.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3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134"/>
        </w:trPr>
        <w:tc>
          <w:tcPr>
            <w:tcW w:type="dxa" w:w="5669"/>
            <w:vMerge w:val="restart"/>
          </w:tcPr>
          <w:p>
            <w:r>
              <w:rPr>
                <w:b/>
                <w:sz w:val="50"/>
              </w:rPr>
              <w:t>Business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Standalone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Package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t xml:space="preserve"> </w:t>
            </w:r>
            <w:r>
              <w:br/>
              <w:t>Total</w:t>
            </w:r>
          </w:p>
        </w:tc>
      </w:tr>
      <w:tr>
        <w:trPr>
          <w:trHeight w:val="1134"/>
        </w:trPr>
        <w:tc>
          <w:tcPr>
            <w:tcW w:type="dxa" w:w="864"/>
            <w:vMerge/>
          </w:tcPr>
          <w:p/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Priceline B2C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160K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11.6%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4.4%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20K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30.3%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29.8%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180K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13.4%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6.8%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Priceline B2B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53.7%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31.4%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18.8%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33.5%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12K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39.6%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32.1%</w:t>
            </w:r>
          </w:p>
        </w:tc>
      </w:tr>
      <w:tr>
        <w:trPr>
          <w:trHeight w:val="1134"/>
        </w:trPr>
        <w:tc>
          <w:tcPr>
            <w:tcW w:type="dxa" w:w="5669"/>
            <w:shd w:fill="D3D3D3"/>
          </w:tcPr>
          <w:p>
            <w:pPr>
              <w:spacing w:before="360"/>
              <w:jc w:val="center"/>
            </w:pPr>
            <w:r/>
            <w:r>
              <w:br/>
              <w:t>Total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168K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13.0%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5.5%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24K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28.2%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30.4%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sz w:val="30"/>
              </w:rPr>
              <w:t>192K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14.7%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8.2%</w:t>
            </w:r>
          </w:p>
        </w:tc>
      </w:tr>
    </w:tbl>
    <w:p/>
    <w:p>
      <w:pPr>
        <w:pStyle w:val="ListBullet"/>
      </w:pPr>
      <w:r>
        <w:t>All Priceline tickets (includes Express Deals, not normalized)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3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134"/>
        </w:trPr>
        <w:tc>
          <w:tcPr>
            <w:tcW w:type="dxa" w:w="5669"/>
            <w:vMerge w:val="restart"/>
          </w:tcPr>
          <w:p>
            <w:r>
              <w:rPr>
                <w:b/>
                <w:sz w:val="50"/>
              </w:rPr>
              <w:t>Carrier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Retail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Express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t xml:space="preserve"> </w:t>
            </w:r>
            <w:r>
              <w:br/>
              <w:t>Total</w:t>
            </w:r>
          </w:p>
        </w:tc>
      </w:tr>
      <w:tr>
        <w:trPr>
          <w:trHeight w:val="1134"/>
        </w:trPr>
        <w:tc>
          <w:tcPr>
            <w:tcW w:type="dxa" w:w="864"/>
            <w:vMerge/>
          </w:tcPr>
          <w:p/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American Airlines (AA)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32K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-0.6%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-5.7%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10K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-16.3%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-28.1%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42K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-4.8%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-11.1%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Delta Air Lines (DL)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22K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11.1%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12.8%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32.2%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-26.1%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23K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11.9%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11.1%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United Airlines (UA)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19K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11.3%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-7.2%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36.7%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13.8%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27K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17.7%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-2.1%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Spirit Airlines (NK)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17K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8.6%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2.7%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17K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8.6%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2.7%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9130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3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Frontier Airlines (F9)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16K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51.7%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50.4%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16K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51.7%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50.4%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6014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1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Alaska Airlines (AS)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5K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12.5%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14.2%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3K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78.0%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48.0%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9K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31.9%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24.7%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JetBlue Airways (B6)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-2.7%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-17.6%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-2.7%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-17.6%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8918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1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Other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20K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22.1%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24.5%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68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-61.1%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-66.0%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21K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21.2%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23.6%</w:t>
            </w:r>
          </w:p>
        </w:tc>
      </w:tr>
      <w:tr>
        <w:trPr>
          <w:trHeight w:val="1134"/>
        </w:trPr>
        <w:tc>
          <w:tcPr>
            <w:tcW w:type="dxa" w:w="5669"/>
            <w:shd w:fill="D3D3D3"/>
          </w:tcPr>
          <w:p>
            <w:pPr>
              <w:spacing w:before="360"/>
              <w:jc w:val="center"/>
            </w:pPr>
            <w:r/>
            <w:r>
              <w:br/>
              <w:t>Total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138K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12.0%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6.4%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22K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9.3%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-7.9%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sz w:val="30"/>
              </w:rPr>
              <w:t>160K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11.6%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4.4%</w:t>
            </w:r>
          </w:p>
        </w:tc>
      </w:tr>
    </w:tbl>
    <w:p/>
    <w:p>
      <w:pPr>
        <w:pStyle w:val="ListBullet"/>
      </w:pPr>
      <w:r>
        <w:t>Priceline, B2C, Standalone (not normalized)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3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134"/>
        </w:trPr>
        <w:tc>
          <w:tcPr>
            <w:tcW w:type="dxa" w:w="5669"/>
            <w:vMerge w:val="restart"/>
          </w:tcPr>
          <w:p>
            <w:r>
              <w:rPr>
                <w:b/>
                <w:sz w:val="50"/>
              </w:rPr>
              <w:t>Channel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App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MWeb/Desktop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t xml:space="preserve"> </w:t>
            </w:r>
            <w:r>
              <w:br/>
              <w:t>Total</w:t>
            </w:r>
          </w:p>
        </w:tc>
      </w:tr>
      <w:tr>
        <w:trPr>
          <w:trHeight w:val="1134"/>
        </w:trPr>
        <w:tc>
          <w:tcPr>
            <w:tcW w:type="dxa" w:w="864"/>
            <w:vMerge/>
          </w:tcPr>
          <w:p/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Direct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27K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-0.1%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4.0%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nan%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-8.9%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52K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2.6%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-2.3%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SEM Core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2K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-33.5%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-35.9%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40K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nan%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16.8%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42K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24.5%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11.9%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SEM Brand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2K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2.2%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2.3%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18K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nan%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0.6%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20K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9.8%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0.8%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Shop PPC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9.7%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14K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nan%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-7.1%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21K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5.6%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-2.8%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Affiliate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87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-3.3%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79.5%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11K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nan%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7.2%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11K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9.1%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7.7%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Email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3K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160.9%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222.2%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5K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nan%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-13.7%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8.2%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18.7%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Meta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18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260.0%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40.0%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nan%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56.5%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71.5%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56.4%</w:t>
            </w:r>
          </w:p>
        </w:tc>
      </w:tr>
      <w:tr>
        <w:trPr>
          <w:trHeight w:val="1134"/>
        </w:trPr>
        <w:tc>
          <w:tcPr>
            <w:tcW w:type="dxa" w:w="5669"/>
            <w:shd w:fill="D3D3D3"/>
          </w:tcPr>
          <w:p>
            <w:pPr>
              <w:spacing w:before="360"/>
              <w:jc w:val="center"/>
            </w:pPr>
            <w:r/>
            <w:r>
              <w:br/>
              <w:t>Total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40K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3.3%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6.1%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120K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inf%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3.9%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sz w:val="30"/>
              </w:rPr>
              <w:t>160K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11.6%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4.4%</w:t>
            </w:r>
          </w:p>
        </w:tc>
      </w:tr>
    </w:tbl>
    <w:p/>
    <w:p>
      <w:pPr>
        <w:pStyle w:val="ListBullet"/>
      </w:pPr>
      <w:r>
        <w:t>All Priceline tickets (includes Express Deals, not normalized)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3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134"/>
        </w:trPr>
        <w:tc>
          <w:tcPr>
            <w:tcW w:type="dxa" w:w="5669"/>
            <w:vMerge w:val="restart"/>
          </w:tcPr>
          <w:p>
            <w:r>
              <w:rPr>
                <w:b/>
                <w:sz w:val="50"/>
              </w:rPr>
              <w:t>Source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Published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drawing>
                <wp:inline xmlns:a="http://schemas.openxmlformats.org/drawingml/2006/main" xmlns:pic="http://schemas.openxmlformats.org/drawingml/2006/picture">
                  <wp:extent cx="73152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Private</w:t>
            </w:r>
          </w:p>
        </w:tc>
        <w:tc>
          <w:tcPr>
            <w:tcW w:type="dxa" w:w="5669"/>
            <w:gridSpan w:val="3"/>
          </w:tcPr>
          <w:p>
            <w:pPr>
              <w:spacing w:before="240"/>
              <w:jc w:val="center"/>
            </w:pPr>
            <w:r>
              <w:rPr>
                <w:sz w:val="36"/>
              </w:rPr>
              <w:t xml:space="preserve"> </w:t>
            </w:r>
            <w:r>
              <w:br/>
              <w:t>Total</w:t>
            </w:r>
          </w:p>
        </w:tc>
      </w:tr>
      <w:tr>
        <w:trPr>
          <w:trHeight w:val="1134"/>
        </w:trPr>
        <w:tc>
          <w:tcPr>
            <w:tcW w:type="dxa" w:w="864"/>
            <w:vMerge/>
          </w:tcPr>
          <w:p/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Direct Connect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68K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11.0%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0.9%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111.2%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45.3%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75K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16.4%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3.2%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Indirect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68K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16.9%</w:t>
            </w:r>
          </w:p>
        </w:tc>
        <w:tc>
          <w:tcPr>
            <w:tcW w:type="dxa" w:w="5669"/>
          </w:tcPr>
          <w:p>
            <w:r>
              <w:rPr>
                <w:b/>
                <w:color w:val="32A852"/>
                <w:sz w:val="30"/>
              </w:rPr>
              <w:t>15.6%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16K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-17.8%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-22.9%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84K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8.2%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6.2%</w:t>
            </w:r>
          </w:p>
        </w:tc>
      </w:tr>
      <w:tr>
        <w:trPr>
          <w:trHeight w:val="1134"/>
        </w:trPr>
        <w:tc>
          <w:tcPr>
            <w:tcW w:type="dxa" w:w="5669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Phone Sales</w:t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</w:r>
          </w:p>
        </w:tc>
        <w:tc>
          <w:tcPr>
            <w:tcW w:type="dxa" w:w="5669"/>
          </w:tcPr>
          <w:p>
            <w:r>
              <w:rPr>
                <w:sz w:val="30"/>
              </w:rPr>
              <w:t>1K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-18.1%</w:t>
            </w:r>
          </w:p>
        </w:tc>
        <w:tc>
          <w:tcPr>
            <w:tcW w:type="dxa" w:w="5669"/>
          </w:tcPr>
          <w:p>
            <w:r>
              <w:rPr>
                <w:b/>
                <w:color w:val="D43A2C"/>
                <w:sz w:val="30"/>
              </w:rPr>
              <w:t>-26.8%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-18.1%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-26.8%</w:t>
            </w:r>
          </w:p>
        </w:tc>
      </w:tr>
      <w:tr>
        <w:trPr>
          <w:trHeight w:val="1134"/>
        </w:trPr>
        <w:tc>
          <w:tcPr>
            <w:tcW w:type="dxa" w:w="5669"/>
            <w:shd w:fill="D3D3D3"/>
          </w:tcPr>
          <w:p>
            <w:pPr>
              <w:spacing w:before="360"/>
              <w:jc w:val="center"/>
            </w:pPr>
            <w:r/>
            <w:r>
              <w:br/>
              <w:t>Total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136K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13.9%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7.7%</w:t>
            </w:r>
          </w:p>
        </w:tc>
        <w:tc>
          <w:tcPr>
            <w:tcW w:type="dxa" w:w="5669"/>
            <w:shd w:fill="D3D3D3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32A852"/>
                <w:sz w:val="30"/>
              </w:rPr>
              <w:t>0.5%</w:t>
            </w:r>
          </w:p>
        </w:tc>
        <w:tc>
          <w:tcPr>
            <w:tcW w:type="dxa" w:w="5669"/>
            <w:shd w:fill="D3D3D3"/>
          </w:tcPr>
          <w:p>
            <w:r>
              <w:rPr>
                <w:b/>
                <w:color w:val="D43A2C"/>
                <w:sz w:val="30"/>
              </w:rPr>
              <w:t>-12.8%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sz w:val="30"/>
              </w:rPr>
              <w:t>160K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11.6%</w:t>
            </w:r>
          </w:p>
        </w:tc>
        <w:tc>
          <w:tcPr>
            <w:tcW w:type="dxa" w:w="5669"/>
            <w:shd w:fill="D3D3D3"/>
            <w:shd w:fill="D3D3D3"/>
          </w:tcPr>
          <w:p>
            <w:r>
              <w:rPr>
                <w:b/>
                <w:color w:val="32A852"/>
                <w:sz w:val="30"/>
              </w:rPr>
              <w:t>4.4%</w:t>
            </w:r>
          </w:p>
        </w:tc>
      </w:tr>
    </w:tbl>
    <w:p/>
    <w:p>
      <w:pPr>
        <w:pStyle w:val="ListBullet"/>
      </w:pPr>
      <w:r>
        <w:t>Priceline, B2C, Standalone (includes Express Deals, not normalized)</w:t>
      </w:r>
    </w:p>
    <w:p>
      <w:pPr>
        <w:pStyle w:val="ListBullet"/>
      </w:pPr>
      <w:r>
        <w:t>Indirect Connect = GDS + Aggregators + Consolidators + NDC-X,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