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 w:val="0"/>
          <w:sz w:val="40"/>
          <w:rFonts w:ascii="Montserrat" w:hAnsi="Montserrat"/>
        </w:rPr>
        <w:t>Flight Performance Week Ending 2024-11-30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27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gridSpan w:val="3"/>
            <w:vAlign w:val="center"/>
            <w:top w:val="nil"/>
            <w:left w:val="nil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gridSpan w:val="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34"/>
            <w:gridSpan w:val="5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67"/>
        </w:trP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67"/>
        </w:trPr>
        <w:tc>
          <w:tcPr>
            <w:tcW w:type="dxa" w:w="1134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+14.2%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rPr>
          <w:trHeight w:val="567"/>
        </w:trPr>
        <w:tc>
          <w:tcPr>
            <w:tcW w:type="dxa" w:w="864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rPr>
          <w:trHeight w:val="567"/>
        </w:trPr>
        <w:tc>
          <w:tcPr>
            <w:tcW w:type="dxa" w:w="1134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+28.5%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rPr>
          <w:trHeight w:val="567"/>
        </w:trPr>
        <w:tc>
          <w:tcPr>
            <w:tcW w:type="dxa" w:w="864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+25.9%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rPr>
          <w:trHeight w:val="567"/>
        </w:trPr>
        <w:tc>
          <w:tcPr>
            <w:tcW w:type="dxa" w:w="1134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149K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34"/>
            <w:gridSpan w:val="5"/>
            <w:vMerge w:val="restart"/>
          </w:tcPr>
          <w:p/>
        </w:tc>
      </w:tr>
      <w:tr>
        <w:trPr>
          <w:trHeight w:val="567"/>
        </w:trPr>
        <w:tc>
          <w:tcPr>
            <w:tcW w:type="dxa" w:w="864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4320"/>
            <w:gridSpan w:val="5"/>
            <w:vMerge/>
          </w:tcPr>
          <w:p/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 and Express Deals)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Revenue includes commission/margin/seats/bags/Wenrix.  Does not include insurance.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W w:w="27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Package</w:t>
            </w:r>
          </w:p>
        </w:tc>
        <w:tc>
          <w:tcPr>
            <w:tcW w:type="dxa" w:w="1134"/>
            <w:gridSpan w:val="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Priceline B2C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+29.7%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+12.9%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Priceline B2B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+53.0%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+18.2%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+39.0%</w:t>
            </w:r>
          </w:p>
        </w:tc>
      </w:tr>
      <w:tr>
        <w:trPr>
          <w:trHeight w:val="567"/>
        </w:trPr>
        <w:tc>
          <w:tcPr>
            <w:tcW w:type="dxa" w:w="1134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149K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+27.6%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+14.2%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W w:w="27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Retail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Express</w:t>
            </w:r>
          </w:p>
        </w:tc>
        <w:tc>
          <w:tcPr>
            <w:tcW w:type="dxa" w:w="1134"/>
            <w:gridSpan w:val="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-26.4%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-5.3%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+10.9%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+46.4%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+31.9%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+11.7%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-23.0%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+36.3%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+17.5%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+8.3%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9130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13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+50.1%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+50.1%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6014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1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-25.3%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+77.3%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+31.2%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-30.0%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-30.0%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-2.9%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648918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91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+21.1%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-75.4%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-61.1%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+20.2%</w:t>
            </w:r>
          </w:p>
        </w:tc>
      </w:tr>
      <w:tr>
        <w:trPr>
          <w:trHeight w:val="567"/>
        </w:trPr>
        <w:tc>
          <w:tcPr>
            <w:tcW w:type="dxa" w:w="1134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+11.1%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W w:w="27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34"/>
            <w:gridSpan w:val="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-32.0%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-21.9%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+2.1%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-36.7%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-33.7%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+29.4%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+23.9%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-23.3%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+10.3%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+9.4%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-26.4%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+5.2%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+16.2%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+8.9%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-23.3%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+8.8%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+161.8%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+159.8%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-35.4%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+7.4%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-26.7%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+260.0%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+35.9%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+70.1%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+35.6%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+70.3%</w:t>
            </w:r>
          </w:p>
        </w:tc>
      </w:tr>
      <w:tr>
        <w:trPr>
          <w:trHeight w:val="567"/>
        </w:trPr>
        <w:tc>
          <w:tcPr>
            <w:tcW w:type="dxa" w:w="1134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101K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+14.2%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+11.1%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W w:w="27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Published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Private</w:t>
            </w:r>
          </w:p>
        </w:tc>
        <w:tc>
          <w:tcPr>
            <w:tcW w:type="dxa" w:w="1134"/>
            <w:gridSpan w:val="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+154.3%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+110.1%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+16.0%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-14.8%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+16.2%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-49.1%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-22.9%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+7.6%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-52.4%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-52.4%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-18.1%</w:t>
            </w:r>
          </w:p>
        </w:tc>
      </w:tr>
      <w:tr>
        <w:trPr>
          <w:trHeight w:val="567"/>
        </w:trPr>
        <w:tc>
          <w:tcPr>
            <w:tcW w:type="dxa" w:w="1134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+13.4%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-22.6%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+11.1%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