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 w:val="0"/>
          <w:sz w:val="40"/>
          <w:rFonts w:ascii="Montserrat" w:hAnsi="Montserrat"/>
        </w:rPr>
        <w:t>Flight Performance Week Ending 2024-12-07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gridSpan w:val="3"/>
            <w:vAlign w:val="center"/>
            <w:top w:val="nil"/>
            <w:left w:val="nil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70000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gridSpan w:val="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34"/>
            <w:gridSpan w:val="5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67"/>
        </w:trPr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67"/>
        </w:trP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864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-19.3%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+21.1%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+55.2%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864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rPr>
          <w:trHeight w:val="567"/>
        </w:trPr>
        <w:tc>
          <w:tcPr>
            <w:tcW w:type="dxa" w:w="1134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+25.0%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  <w:gridSpan w:val="5"/>
            <w:vMerge w:val="restart"/>
          </w:tcPr>
          <w:p/>
        </w:tc>
      </w:tr>
      <w:tr>
        <w:trPr>
          <w:trHeight w:val="567"/>
        </w:trPr>
        <w:tc>
          <w:tcPr>
            <w:tcW w:type="dxa" w:w="864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134"/>
          </w:tcPr>
          <w:p/>
        </w:tc>
        <w:tc>
          <w:tcPr>
            <w:tcW w:type="dxa" w:w="4320"/>
            <w:gridSpan w:val="5"/>
            <w:vMerge/>
          </w:tcPr>
          <w:p/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Revenue includes commission/margin/seats/bags/Wenrix.  Does not include insurance.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Priceline B2C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+52.8%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207K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+22.2%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-18.3%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 B2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Priceline B2B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+67.9%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+64.6%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+66.6%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+1.3%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192K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+20.6%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+54.8%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222K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-17.2%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9700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+10.4%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-26.4%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5576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5576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+30.9%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+46.4%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-20.7%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884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88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+37.1%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-23.0%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-22.0%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4187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-21.6%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913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3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+47.4%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+47.4%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-1.2%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6014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014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+40.8%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+35.0%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-20.8%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7842" cy="36576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842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-30.0%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-30.0%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648918" cy="3657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918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+48.8%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-78.0%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-75.4%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+47.3%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+6.5%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+19.1%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-19.5%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-18.7%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-32.0%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-21.9%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+25.3%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-16.1%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+14.0%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+20.7%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+20.0%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-22.5%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-26.4%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+12.9%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-21.3%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+76.2%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+16.2%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+25.9%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+26.3%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-23.3%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+297.5%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+161.8%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-35.4%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+49.1%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-8.1%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+366.7%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-26.7%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+73.6%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+35.9%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+74.1%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+35.6%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+23.0%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-18.7%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W w:w="27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67"/>
        </w:trPr>
        <w:tc>
          <w:tcPr>
            <w:tcW w:type="dxa" w:w="1134"/>
            <w:top w:val="nil"/>
            <w:left w:val="nil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1134"/>
            <w:gridSpan w:val="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1134"/>
            <w:gridSpan w:val="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67"/>
        </w:trPr>
        <w:tc>
          <w:tcPr>
            <w:tcW w:type="dxa" w:w="864"/>
            <w:top w:val="nil"/>
            <w:left w:val="nil"/>
            <w:vMerge/>
          </w:tcPr>
          <w:p/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-21.0%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+195.6%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+154.3%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+26.8%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-12.7%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+28.3%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-28.4%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-49.1%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+13.8%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-22.9%</w:t>
            </w:r>
          </w:p>
        </w:tc>
      </w:tr>
      <w:tr>
        <w:trPr>
          <w:trHeight w:val="567"/>
        </w:trPr>
        <w:tc>
          <w:tcPr>
            <w:tcW w:type="dxa" w:w="1134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-43.8%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-52.4%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-43.8%</w:t>
            </w:r>
          </w:p>
        </w:tc>
        <w:tc>
          <w:tcPr>
            <w:tcW w:type="dxa" w:w="1134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-52.4%</w:t>
            </w:r>
          </w:p>
        </w:tc>
      </w:tr>
      <w:tr>
        <w:trPr>
          <w:trHeight w:val="567"/>
        </w:trPr>
        <w:tc>
          <w:tcPr>
            <w:tcW w:type="dxa" w:w="1134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+22.7%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34"/>
            <w:vAlign w:val="center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32A852"/>
                <w:sz w:val="20"/>
                <w:rFonts w:ascii="Montserrat" w:hAnsi="Montserrat"/>
              </w:rPr>
              <w:t>+18.9%</w:t>
            </w:r>
          </w:p>
        </w:tc>
        <w:tc>
          <w:tcPr>
            <w:tcW w:type="dxa" w:w="1134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D43A2C"/>
                <w:sz w:val="20"/>
                <w:rFonts w:ascii="Montserrat" w:hAnsi="Montserrat"/>
              </w:rPr>
              <w:t>-18.7%</w:t>
            </w:r>
          </w:p>
        </w:tc>
      </w:tr>
    </w:tbl>
    <w:p/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