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40"/>
          <w:rFonts w:ascii="Montserrat" w:hAnsi="Montserrat"/>
        </w:rPr>
        <w:t>Flight Performance Week Ending 2024-12-28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567"/>
            <w:gridSpan w:val="3"/>
            <w:shd w:val="clear" w:fill="FFFFFF"/>
            <w:vAlign w:val="center"/>
            <w:top w:val="nil"/>
            <w:left w:val="nil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567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Metric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Net/Gross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Actual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Reporting Week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Previous Week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Reporting Week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Previous Week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MTD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QTD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YTD</w:t>
            </w:r>
          </w:p>
        </w:tc>
      </w:tr>
      <w:tr>
        <w:trPr>
          <w:trHeight w:val="567"/>
        </w:trPr>
        <w:tc>
          <w:tcPr>
            <w:tcW w:type="dxa" w:w="567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Tickets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130K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-6.8%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+8.2%</w:t>
            </w:r>
          </w:p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140K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-7.7%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+6.6%</w:t>
            </w:r>
          </w:p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</w:tr>
      <w:tr>
        <w:trPr>
          <w:trHeight w:val="567"/>
        </w:trPr>
        <w:tc>
          <w:tcPr>
            <w:tcW w:type="dxa" w:w="567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Revenue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1M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-10.5%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+4.5%</w:t>
            </w:r>
          </w:p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2M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-10.2%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+4.1%</w:t>
            </w:r>
          </w:p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  <w:tc>
          <w:tcPr>
            <w:tcW w:type="dxa" w:w="567"/>
            <w:shd w:val="clear" w:fill="FFFFFF"/>
          </w:tcPr>
          <w:p/>
        </w:tc>
      </w:tr>
      <w:tr>
        <w:trPr>
          <w:trHeight w:val="567"/>
        </w:trPr>
        <w:tc>
          <w:tcPr>
            <w:tcW w:type="dxa" w:w="567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t>Normalized Tickets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Net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114K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-6.9%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+7.7%</w:t>
            </w:r>
          </w:p>
        </w:tc>
        <w:tc>
          <w:tcPr>
            <w:tcW w:type="dxa" w:w="567"/>
            <w:gridSpan w:val="5"/>
            <w:vMerge w:val="restart"/>
            <w:shd w:val="clear" w:fill="FFFFFF"/>
          </w:tcPr>
          <w:p/>
        </w:tc>
      </w:tr>
      <w:tr>
        <w:trPr>
          <w:trHeight w:val="567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Gross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122K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-7.0%</w:t>
            </w:r>
          </w:p>
        </w:tc>
        <w:tc>
          <w:tcPr>
            <w:tcW w:type="dxa" w:w="567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+7.2%</w:t>
            </w:r>
          </w:p>
        </w:tc>
        <w:tc>
          <w:tcPr>
            <w:tcW w:type="dxa" w:w="4320"/>
            <w:gridSpan w:val="5"/>
            <w:vMerge/>
            <w:shd w:val="clear" w:fill="FFFFFF"/>
          </w:tcPr>
          <w:p/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Revenue includes commission/margin/seats/bags/Wenrix. 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567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Standalone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Package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107K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+9.8%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+23.8%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123K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-7.7%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+7.4%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+21.6%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+32.6%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-2.4%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+8.3%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+10.3%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+22.4%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111K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-8.9%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+6.4%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19K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+7.7%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+21.1%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130K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+8.2%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567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Retail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Express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0691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691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-6.3%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-44.5%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-37.9%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28K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-20.0%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-5.5%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15K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-10.7%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+4.6%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+24.2%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-42.5%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+1.4%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-19.9%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-23.5%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+13.8%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-21.0%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+4.3%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10K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-31.5%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-17.3%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-31.5%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-17.3%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+37.8%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+64.7%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11K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+37.8%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+64.7%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+25.4%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-13.7%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-10.7%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+0.2%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+11.9%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4K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-7.9%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125415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415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Other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+28.1%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+43.4%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-76.9%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-82.5%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+27.0%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+41.9%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92K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-4.5%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+11.5%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15K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-33.4%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-24.7%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107K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+5.5%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567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App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23K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-7.2%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-18.5%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-6.6%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39K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-12.2%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-1.4%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Core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-21.8%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-0.3%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-14.2%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+11.9%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22K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-14.7%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+11.1%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SEM Brand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-13.3%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12K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-10.1%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14K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+1.6%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Shop PPC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5K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-13.0%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+0.2%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10K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-16.2%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14K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-15.2%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+3.3%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Affiliate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-7.5%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8K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-7.3%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+1.6%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Email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2K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+144.0%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+209.0%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-22.0%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-10.9%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6K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+9.0%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+24.8%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Meta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+800.0%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+30.0%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+140.1%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+121.8%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+140.5%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+121.3%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33K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-4.8%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+7.0%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73K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-12.0%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+4.9%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107K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+5.5%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0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567"/>
            <w:top w:val="nil"/>
            <w:left w:val="nil"/>
            <w:vMerge w:val="restart"/>
            <w:vAlign w:val="center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Published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2"/>
                <w:rFonts w:ascii="Montserrat" w:hAnsi="Montserrat"/>
              </w:rPr>
              <w:br/>
              <w:t>Private</w:t>
            </w:r>
          </w:p>
        </w:tc>
        <w:tc>
          <w:tcPr>
            <w:tcW w:type="dxa" w:w="567"/>
            <w:gridSpan w:val="3"/>
            <w:shd w:val="clear" w:fill="FFFFFF"/>
            <w:shd w:val="clear" w:fill="FFFFFF"/>
            <w:shd w:val="clear" w:fill="FFFFFF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Net Tickets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18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42K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-8.4%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+8.7%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7K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+63.1%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+84.0%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49K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+14.5%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Indirect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48K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+7.9%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+23.3%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8K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-61.7%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-58.7%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56K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-15.1%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-1.6%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2"/>
                <w:rFonts w:ascii="Montserrat" w:hAnsi="Montserrat"/>
              </w:rPr>
              <w:br/>
              <w:t>Phone Sales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-29.1%</w:t>
            </w:r>
          </w:p>
        </w:tc>
        <w:tc>
          <w:tcPr>
            <w:tcW w:type="dxa" w:w="567"/>
            <w:vAlign w:val="center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+2.4%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&lt;1K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-29.1%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+2.4%</w:t>
            </w:r>
          </w:p>
        </w:tc>
      </w:tr>
      <w:tr>
        <w:trPr>
          <w:trHeight w:val="567"/>
        </w:trPr>
        <w:tc>
          <w:tcPr>
            <w:tcW w:type="dxa" w:w="567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</w: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br/>
              <w:t>Total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90K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-0.4%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+15.7%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16K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-41.0%</w:t>
            </w:r>
          </w:p>
        </w:tc>
        <w:tc>
          <w:tcPr>
            <w:tcW w:type="dxa" w:w="567"/>
            <w:vAlign w:val="center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-32.5%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8"/>
                <w:rFonts w:ascii="Montserrat" w:hAnsi="Montserrat"/>
              </w:rPr>
              <w:t>107K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18"/>
                <w:rFonts w:ascii="Montserrat" w:hAnsi="Montserrat"/>
              </w:rPr>
              <w:t>-9.8%</w:t>
            </w:r>
          </w:p>
        </w:tc>
        <w:tc>
          <w:tcPr>
            <w:tcW w:type="dxa" w:w="567"/>
            <w:vAlign w:val="center"/>
            <w:shd w:fill="D3D3D3"/>
            <w:shd w:val="clear" w:fill="FFFFFF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18"/>
                <w:rFonts w:ascii="Montserrat" w:hAnsi="Montserrat"/>
              </w:rPr>
              <w:t>+5.5%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2"/>
          <w:rFonts w:ascii="Montserrat" w:hAnsi="Montserrat"/>
        </w:rPr>
        <w:t>Indirect Connect = GDS + Aggregators + Consolidators + NDC-X,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