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 w:val="0"/>
          <w:sz w:val="30"/>
          <w:rFonts w:ascii="Montserrat" w:hAnsi="Montserrat"/>
        </w:rPr>
        <w:t>Flight Performance Week Ending 2025-01-04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850"/>
        </w:trPr>
        <w:tc>
          <w:tcPr>
            <w:tcW w:type="dxa" w:w="850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70000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850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Metric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Net/Gross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Actual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Reporting Week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Previous Week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Reporting Week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Previous Week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MTD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QTD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YTD</w:t>
            </w:r>
          </w:p>
        </w:tc>
      </w:tr>
      <w:tr>
        <w:trPr>
          <w:trHeight w:val="850"/>
        </w:trPr>
        <w:tc>
          <w:tcPr>
            <w:tcW w:type="dxa" w:w="85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t>Tickets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Net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165K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-8.0%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-6.8%</w:t>
            </w:r>
          </w:p>
        </w:tc>
        <w:tc>
          <w:tcPr>
            <w:tcW w:type="dxa" w:w="850"/>
            <w:shd w:val="clear" w:fill="FFFFFF"/>
          </w:tcPr>
          <w:p/>
        </w:tc>
        <w:tc>
          <w:tcPr>
            <w:tcW w:type="dxa" w:w="850"/>
            <w:shd w:val="clear" w:fill="FFFFFF"/>
          </w:tcPr>
          <w:p/>
        </w:tc>
        <w:tc>
          <w:tcPr>
            <w:tcW w:type="dxa" w:w="850"/>
            <w:shd w:val="clear" w:fill="FFFFFF"/>
          </w:tcPr>
          <w:p/>
        </w:tc>
        <w:tc>
          <w:tcPr>
            <w:tcW w:type="dxa" w:w="850"/>
            <w:shd w:val="clear" w:fill="FFFFFF"/>
          </w:tcPr>
          <w:p/>
        </w:tc>
        <w:tc>
          <w:tcPr>
            <w:tcW w:type="dxa" w:w="850"/>
            <w:shd w:val="clear" w:fill="FFFFFF"/>
          </w:tcPr>
          <w:p/>
        </w:tc>
      </w:tr>
      <w:tr>
        <w:trPr>
          <w:trHeight w:val="850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Gross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176K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-9.9%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-7.7%</w:t>
            </w:r>
          </w:p>
        </w:tc>
        <w:tc>
          <w:tcPr>
            <w:tcW w:type="dxa" w:w="850"/>
            <w:shd w:val="clear" w:fill="FFFFFF"/>
          </w:tcPr>
          <w:p/>
        </w:tc>
        <w:tc>
          <w:tcPr>
            <w:tcW w:type="dxa" w:w="850"/>
            <w:shd w:val="clear" w:fill="FFFFFF"/>
          </w:tcPr>
          <w:p/>
        </w:tc>
        <w:tc>
          <w:tcPr>
            <w:tcW w:type="dxa" w:w="850"/>
            <w:shd w:val="clear" w:fill="FFFFFF"/>
          </w:tcPr>
          <w:p/>
        </w:tc>
        <w:tc>
          <w:tcPr>
            <w:tcW w:type="dxa" w:w="850"/>
            <w:shd w:val="clear" w:fill="FFFFFF"/>
          </w:tcPr>
          <w:p/>
        </w:tc>
        <w:tc>
          <w:tcPr>
            <w:tcW w:type="dxa" w:w="850"/>
            <w:shd w:val="clear" w:fill="FFFFFF"/>
          </w:tcPr>
          <w:p/>
        </w:tc>
      </w:tr>
      <w:tr>
        <w:trPr>
          <w:trHeight w:val="850"/>
        </w:trPr>
        <w:tc>
          <w:tcPr>
            <w:tcW w:type="dxa" w:w="85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t>Revenue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Net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2M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+3.7%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-10.5%</w:t>
            </w:r>
          </w:p>
        </w:tc>
        <w:tc>
          <w:tcPr>
            <w:tcW w:type="dxa" w:w="850"/>
            <w:shd w:val="clear" w:fill="FFFFFF"/>
          </w:tcPr>
          <w:p/>
        </w:tc>
        <w:tc>
          <w:tcPr>
            <w:tcW w:type="dxa" w:w="850"/>
            <w:shd w:val="clear" w:fill="FFFFFF"/>
          </w:tcPr>
          <w:p/>
        </w:tc>
        <w:tc>
          <w:tcPr>
            <w:tcW w:type="dxa" w:w="850"/>
            <w:shd w:val="clear" w:fill="FFFFFF"/>
          </w:tcPr>
          <w:p/>
        </w:tc>
        <w:tc>
          <w:tcPr>
            <w:tcW w:type="dxa" w:w="850"/>
            <w:shd w:val="clear" w:fill="FFFFFF"/>
          </w:tcPr>
          <w:p/>
        </w:tc>
        <w:tc>
          <w:tcPr>
            <w:tcW w:type="dxa" w:w="850"/>
            <w:shd w:val="clear" w:fill="FFFFFF"/>
          </w:tcPr>
          <w:p/>
        </w:tc>
      </w:tr>
      <w:tr>
        <w:trPr>
          <w:trHeight w:val="850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Gross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2M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+1.9%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-10.2%</w:t>
            </w:r>
          </w:p>
        </w:tc>
        <w:tc>
          <w:tcPr>
            <w:tcW w:type="dxa" w:w="850"/>
            <w:shd w:val="clear" w:fill="FFFFFF"/>
          </w:tcPr>
          <w:p/>
        </w:tc>
        <w:tc>
          <w:tcPr>
            <w:tcW w:type="dxa" w:w="850"/>
            <w:shd w:val="clear" w:fill="FFFFFF"/>
          </w:tcPr>
          <w:p/>
        </w:tc>
        <w:tc>
          <w:tcPr>
            <w:tcW w:type="dxa" w:w="850"/>
            <w:shd w:val="clear" w:fill="FFFFFF"/>
          </w:tcPr>
          <w:p/>
        </w:tc>
        <w:tc>
          <w:tcPr>
            <w:tcW w:type="dxa" w:w="850"/>
            <w:shd w:val="clear" w:fill="FFFFFF"/>
          </w:tcPr>
          <w:p/>
        </w:tc>
        <w:tc>
          <w:tcPr>
            <w:tcW w:type="dxa" w:w="850"/>
            <w:shd w:val="clear" w:fill="FFFFFF"/>
          </w:tcPr>
          <w:p/>
        </w:tc>
      </w:tr>
      <w:tr>
        <w:trPr>
          <w:trHeight w:val="850"/>
        </w:trPr>
        <w:tc>
          <w:tcPr>
            <w:tcW w:type="dxa" w:w="85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t>Normalized Tickets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Net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144K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-6.7%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-6.9%</w:t>
            </w:r>
          </w:p>
        </w:tc>
        <w:tc>
          <w:tcPr>
            <w:tcW w:type="dxa" w:w="850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850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Gross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154K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-7.5%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-7.0%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All Priceline tickets (includes B2B, Package and Express Deals)</w:t>
      </w:r>
    </w:p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Refunds are assigned to refund date</w:t>
      </w:r>
    </w:p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Revenue includes commission/margin/seats/bags/Wenrix. Does not include insurance.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850"/>
        </w:trPr>
        <w:tc>
          <w:tcPr>
            <w:tcW w:type="dxa" w:w="850"/>
            <w:top w:val="nil" w:color="FFFFFF"/>
            <w:bottom w:val="nil" w:color="FFFFFF"/>
            <w:left w:val="nil" w:color="FFFFFF"/>
            <w:right w:val="nil" w:color="FFFFFF"/>
            <w:vMerge w:val="restart"/>
            <w:vAlign w:val="center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4"/>
                <w:rFonts w:ascii="Montserrat" w:hAnsi="Montserrat"/>
              </w:rPr>
              <w:t>Business</w:t>
            </w:r>
          </w:p>
        </w:tc>
        <w:tc>
          <w:tcPr>
            <w:tcW w:type="dxa" w:w="850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Standalone</w:t>
            </w:r>
          </w:p>
        </w:tc>
        <w:tc>
          <w:tcPr>
            <w:tcW w:type="dxa" w:w="850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Package</w:t>
            </w:r>
          </w:p>
        </w:tc>
        <w:tc>
          <w:tcPr>
            <w:tcW w:type="dxa" w:w="850"/>
            <w:gridSpan w:val="3"/>
            <w:shd w:val="clear" w:fill="FFFFFF"/>
            <w:shd w:val="clear" w:fill="FFFFFF"/>
            <w:shd w:val="clear" w:fill="FFFFFF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</w:tr>
      <w:tr>
        <w:trPr>
          <w:trHeight w:val="850"/>
        </w:trPr>
        <w:tc>
          <w:tcPr>
            <w:tcW w:type="dxa" w:w="864"/>
            <w:top w:val="nil" w:color="FFFFFF"/>
            <w:bottom w:val="nil" w:color="FFFFFF"/>
            <w:left w:val="nil" w:color="FFFFFF"/>
            <w:right w:val="nil" w:color="FFFFFF"/>
            <w:vMerge/>
          </w:tcPr>
          <w:p/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 B2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Priceline B2C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132K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-11.4%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-9.9%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22K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+8.5%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+9.8%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154K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-9.0%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-7.7%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 B2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Priceline B2B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5K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+10.1%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+21.6%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5K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+9.6%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-2.4%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10K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+9.9%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+10.3%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137K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-10.7%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-9.0%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27K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+8.7%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+7.7%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165K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-8.0%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-6.8%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All Priceline tickets (includes Express Deals, not normalized)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2592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850"/>
        </w:trPr>
        <w:tc>
          <w:tcPr>
            <w:tcW w:type="dxa" w:w="850"/>
            <w:top w:val="nil" w:color="FFFFFF"/>
            <w:bottom w:val="nil" w:color="FFFFFF"/>
            <w:left w:val="nil" w:color="FFFFFF"/>
            <w:right w:val="nil" w:color="FFFFFF"/>
            <w:vMerge w:val="restart"/>
            <w:vAlign w:val="center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4"/>
                <w:rFonts w:ascii="Montserrat" w:hAnsi="Montserrat"/>
              </w:rPr>
              <w:t>Carrier</w:t>
            </w:r>
          </w:p>
        </w:tc>
        <w:tc>
          <w:tcPr>
            <w:tcW w:type="dxa" w:w="850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Retail</w:t>
            </w:r>
          </w:p>
        </w:tc>
        <w:tc>
          <w:tcPr>
            <w:tcW w:type="dxa" w:w="850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Express</w:t>
            </w:r>
          </w:p>
        </w:tc>
        <w:tc>
          <w:tcPr>
            <w:tcW w:type="dxa" w:w="850"/>
            <w:gridSpan w:val="3"/>
            <w:shd w:val="clear" w:fill="FFFFFF"/>
            <w:shd w:val="clear" w:fill="FFFFFF"/>
            <w:shd w:val="clear" w:fill="FFFFFF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</w:tr>
      <w:tr>
        <w:trPr>
          <w:trHeight w:val="850"/>
        </w:trPr>
        <w:tc>
          <w:tcPr>
            <w:tcW w:type="dxa" w:w="864"/>
            <w:top w:val="nil" w:color="FFFFFF"/>
            <w:bottom w:val="nil" w:color="FFFFFF"/>
            <w:left w:val="nil" w:color="FFFFFF"/>
            <w:right w:val="nil" w:color="FFFFFF"/>
            <w:vMerge/>
          </w:tcPr>
          <w:p/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9988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988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27K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-10.9%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-6.3%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8K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-29.0%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-44.5%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35K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-16.0%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-20.0%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5576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5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18K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-20.6%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-10.7%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+63.5%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+24.2%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19K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-17.9%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-9.5%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884" cy="3657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884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13K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-21.7%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-19.9%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9K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-6.0%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-23.5%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22K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-16.0%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-21.0%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4187" cy="3657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18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13K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-31.3%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-31.5%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13K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-31.3%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-31.5%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3876" cy="3657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8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12K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+25.3%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+37.8%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12K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+25.3%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+37.8%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669" cy="3657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669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5K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+1.8%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+9.5%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3K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+7.2%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-13.7%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8K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+3.7%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+0.2%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7842" cy="3657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842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6K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-15.1%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-7.9%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6K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-15.1%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-7.9%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125415" cy="3657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415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Other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18K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+15.3%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+27.9%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&lt;1K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-93.2%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-76.9%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18K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+13.7%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+26.8%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111K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-10.8%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-4.5%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21K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-14.3%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-33.4%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132K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-11.4%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-9.9%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Priceline, B2C, Standalone (not normalized)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850"/>
        </w:trPr>
        <w:tc>
          <w:tcPr>
            <w:tcW w:type="dxa" w:w="850"/>
            <w:top w:val="nil" w:color="FFFFFF"/>
            <w:bottom w:val="nil" w:color="FFFFFF"/>
            <w:left w:val="nil" w:color="FFFFFF"/>
            <w:right w:val="nil" w:color="FFFFFF"/>
            <w:vMerge w:val="restart"/>
            <w:vAlign w:val="center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4"/>
                <w:rFonts w:ascii="Montserrat" w:hAnsi="Montserrat"/>
              </w:rPr>
              <w:t>Channel</w:t>
            </w:r>
          </w:p>
        </w:tc>
        <w:tc>
          <w:tcPr>
            <w:tcW w:type="dxa" w:w="850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App</w:t>
            </w:r>
          </w:p>
        </w:tc>
        <w:tc>
          <w:tcPr>
            <w:tcW w:type="dxa" w:w="850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850"/>
            <w:gridSpan w:val="3"/>
            <w:shd w:val="clear" w:fill="FFFFFF"/>
            <w:shd w:val="clear" w:fill="FFFFFF"/>
            <w:shd w:val="clear" w:fill="FFFFFF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</w:tr>
      <w:tr>
        <w:trPr>
          <w:trHeight w:val="850"/>
        </w:trPr>
        <w:tc>
          <w:tcPr>
            <w:tcW w:type="dxa" w:w="864"/>
            <w:top w:val="nil" w:color="FFFFFF"/>
            <w:bottom w:val="nil" w:color="FFFFFF"/>
            <w:left w:val="nil" w:color="FFFFFF"/>
            <w:right w:val="nil" w:color="FFFFFF"/>
            <w:vMerge/>
          </w:tcPr>
          <w:p/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Direct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26K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-10.0%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-7.2%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20K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-24.2%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-18.5%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46K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-16.7%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-12.2%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SEM Core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-15.6%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-21.8%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28K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-16.4%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-14.2%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30K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-16.4%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-14.8%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SEM Brand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-7.0%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-13.3%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16K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-6.7%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-10.1%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18K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-6.7%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-10.5%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Shop PPC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6K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-11.2%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-13.0%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12K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-12.4%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-16.2%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18K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-12.0%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-15.2%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Affiliate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&lt;1K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+19.7%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+8.9%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9K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-8.0%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-7.5%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10K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-7.8%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-7.4%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Email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3K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+158.1%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+144.0%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4K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-24.8%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-22.1%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7K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+6.7%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+8.9%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Meta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&lt;1K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+233.3%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+800.0%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4K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+120.1%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+139.9%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4K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+120.5%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+140.3%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39K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-5.6%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-4.8%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93K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-13.5%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-12.0%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132K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-11.4%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-9.9%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All Priceline tickets (includes Express Deals, not normalized)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850"/>
        </w:trPr>
        <w:tc>
          <w:tcPr>
            <w:tcW w:type="dxa" w:w="850"/>
            <w:top w:val="nil" w:color="FFFFFF"/>
            <w:bottom w:val="nil" w:color="FFFFFF"/>
            <w:left w:val="nil" w:color="FFFFFF"/>
            <w:right w:val="nil" w:color="FFFFFF"/>
            <w:vMerge w:val="restart"/>
            <w:vAlign w:val="center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4"/>
                <w:rFonts w:ascii="Montserrat" w:hAnsi="Montserrat"/>
              </w:rPr>
              <w:t>Source</w:t>
            </w:r>
          </w:p>
        </w:tc>
        <w:tc>
          <w:tcPr>
            <w:tcW w:type="dxa" w:w="850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Published</w:t>
            </w:r>
          </w:p>
        </w:tc>
        <w:tc>
          <w:tcPr>
            <w:tcW w:type="dxa" w:w="850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Private</w:t>
            </w:r>
          </w:p>
        </w:tc>
        <w:tc>
          <w:tcPr>
            <w:tcW w:type="dxa" w:w="850"/>
            <w:gridSpan w:val="3"/>
            <w:shd w:val="clear" w:fill="FFFFFF"/>
            <w:shd w:val="clear" w:fill="FFFFFF"/>
            <w:shd w:val="clear" w:fill="FFFFFF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</w:tr>
      <w:tr>
        <w:trPr>
          <w:trHeight w:val="850"/>
        </w:trPr>
        <w:tc>
          <w:tcPr>
            <w:tcW w:type="dxa" w:w="864"/>
            <w:top w:val="nil" w:color="FFFFFF"/>
            <w:bottom w:val="nil" w:color="FFFFFF"/>
            <w:left w:val="nil" w:color="FFFFFF"/>
            <w:right w:val="nil" w:color="FFFFFF"/>
            <w:vMerge/>
          </w:tcPr>
          <w:p/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53K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-11.4%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-8.4%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8K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+95.6%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+63.1%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62K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-4.3%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-2.5%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Indirect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55K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-0.9%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+7.9%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14K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-48.6%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-61.7%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69K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-16.3%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-15.2%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Phone Sales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1K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-39.9%</w:t>
            </w:r>
          </w:p>
        </w:tc>
        <w:tc>
          <w:tcPr>
            <w:tcW w:type="dxa" w:w="85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-29.1%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-39.9%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-29.1%</w:t>
            </w:r>
          </w:p>
        </w:tc>
      </w:tr>
      <w:tr>
        <w:trPr>
          <w:trHeight w:val="850"/>
        </w:trPr>
        <w:tc>
          <w:tcPr>
            <w:tcW w:type="dxa" w:w="850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109K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-6.4%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-0.5%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23K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-29.2%</w:t>
            </w:r>
          </w:p>
        </w:tc>
        <w:tc>
          <w:tcPr>
            <w:tcW w:type="dxa" w:w="85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-41.0%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132K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-11.4%</w:t>
            </w:r>
          </w:p>
        </w:tc>
        <w:tc>
          <w:tcPr>
            <w:tcW w:type="dxa" w:w="85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-9.9%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All Priceline tickets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Priceline,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Indirect Connect = GDS + Aggregators + Consolidators + NDC-X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160"/>
        <w:gridCol w:w="144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850"/>
        </w:trPr>
        <w:tc>
          <w:tcPr>
            <w:tcW w:type="dxa" w:w="850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5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70000" cy="54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70000" cy="540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/>
        </w:trPr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Actual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YoY(bPs)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YoY PW(bps)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Actual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YoY(bPs)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YoY PW(bps)</w:t>
            </w:r>
          </w:p>
        </w:tc>
      </w:tr>
      <w:tr>
        <w:trPr>
          <w:trHeight w:val="850"/>
        </w:trPr>
        <w:tc>
          <w:tcPr>
            <w:tcW w:type="dxa" w:w="85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Market Share</w:t>
            </w:r>
          </w:p>
        </w:tc>
        <w:tc>
          <w:tcPr>
            <w:tcW w:type="dxa" w:w="85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731520" cy="27432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</w:tr>
      <w:tr>
        <w:trPr>
          <w:trHeight w:val="85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85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371600" cy="27432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</w:tr>
      <w:tr>
        <w:trPr>
          <w:trHeight w:val="850"/>
        </w:trPr>
        <w:tc>
          <w:tcPr>
            <w:tcW w:type="dxa" w:w="85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Parity</w:t>
            </w:r>
          </w:p>
        </w:tc>
        <w:tc>
          <w:tcPr>
            <w:tcW w:type="dxa" w:w="85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37160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Direct vs Expedia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93.9%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585.0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495.0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85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85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Kayak Placement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12.7%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67.0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5.0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12.7%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241.0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357.0</w:t>
            </w:r>
          </w:p>
        </w:tc>
      </w:tr>
      <w:tr>
        <w:trPr>
          <w:trHeight w:val="85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85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3657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Skyscanner Placement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17.5%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863.0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646.0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31.2%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-547.0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-677.0</w:t>
            </w:r>
          </w:p>
        </w:tc>
      </w:tr>
      <w:tr>
        <w:trPr>
          <w:trHeight w:val="850"/>
        </w:trPr>
        <w:tc>
          <w:tcPr>
            <w:tcW w:type="dxa" w:w="85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Share of Business</w:t>
            </w:r>
          </w:p>
        </w:tc>
        <w:tc>
          <w:tcPr>
            <w:tcW w:type="dxa" w:w="85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US Outbound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9.3%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-63.0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3.0</w:t>
            </w:r>
          </w:p>
        </w:tc>
        <w:tc>
          <w:tcPr>
            <w:tcW w:type="dxa" w:w="850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</w:tr>
      <w:tr>
        <w:trPr>
          <w:trHeight w:val="85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85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731520" cy="73152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Merchant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Retail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9.5%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-4.6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-3.0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85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Total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21.2%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-90.1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-412.0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85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85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Deals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34.2%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-533.0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-712.0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850"/>
        </w:trPr>
        <w:tc>
          <w:tcPr>
            <w:tcW w:type="dxa" w:w="850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Bookability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