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 w:val="0"/>
          <w:sz w:val="30"/>
          <w:rFonts w:ascii="Montserrat" w:hAnsi="Montserrat"/>
        </w:rPr>
        <w:t>Flight Performance Week Ending 2025-01-11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8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720"/>
        </w:trPr>
        <w:tc>
          <w:tcPr>
            <w:tcW w:type="dxa" w:w="259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4320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720"/>
        </w:trPr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Metric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Net/Gross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Actual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Reporting Week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Previous Week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Reporting Week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Previous Week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MTD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QTD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YTD</w:t>
            </w:r>
          </w:p>
        </w:tc>
      </w:tr>
      <w:tr>
        <w:trPr>
          <w:trHeight w:val="720"/>
        </w:trPr>
        <w:tc>
          <w:tcPr>
            <w:tcW w:type="dxa" w:w="864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t>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Net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191K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+2.8%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-8.0%</w:t>
            </w:r>
          </w:p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</w:tr>
      <w:tr>
        <w:trPr>
          <w:trHeight w:val="720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Gross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206K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+2.0%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-9.9%</w:t>
            </w:r>
          </w:p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</w:tr>
      <w:tr>
        <w:trPr>
          <w:trHeight w:val="720"/>
        </w:trPr>
        <w:tc>
          <w:tcPr>
            <w:tcW w:type="dxa" w:w="864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t>Revenue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Net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2M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+9.3%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+3.7%</w:t>
            </w:r>
          </w:p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</w:tr>
      <w:tr>
        <w:trPr>
          <w:trHeight w:val="720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Gross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2M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+10.5%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+1.9%</w:t>
            </w:r>
          </w:p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  <w:tc>
          <w:tcPr>
            <w:tcW w:type="dxa" w:w="864"/>
            <w:shd w:val="clear" w:fill="FFFFFF"/>
          </w:tcPr>
          <w:p/>
        </w:tc>
      </w:tr>
      <w:tr>
        <w:trPr>
          <w:trHeight w:val="720"/>
        </w:trPr>
        <w:tc>
          <w:tcPr>
            <w:tcW w:type="dxa" w:w="864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t>Normalized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Net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166K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+2.2%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-6.7%</w:t>
            </w:r>
          </w:p>
        </w:tc>
        <w:tc>
          <w:tcPr>
            <w:tcW w:type="dxa" w:w="4320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Gross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178K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+1.6%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-7.5%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B2B, Package and Express Deals)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Refunds are assigned to refund date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Revenue includes commission/margin/seats/bags/Wenrix. Does not include insurance.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96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720"/>
        </w:trPr>
        <w:tc>
          <w:tcPr>
            <w:tcW w:type="dxa" w:w="4320"/>
            <w:top w:val="nil" w:color="FFFFFF"/>
            <w:bottom w:val="nil" w:color="FFFFFF"/>
            <w:left w:val="nil" w:color="FFFFFF"/>
            <w:right w:val="nil" w:color="FFFFFF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2"/>
                <w:rFonts w:ascii="Montserrat" w:hAnsi="Montserrat"/>
              </w:rPr>
              <w:t>Business</w:t>
            </w:r>
          </w:p>
        </w:tc>
        <w:tc>
          <w:tcPr>
            <w:tcW w:type="dxa" w:w="432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45720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Standalone</w:t>
            </w:r>
          </w:p>
        </w:tc>
        <w:tc>
          <w:tcPr>
            <w:tcW w:type="dxa" w:w="432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45720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Package</w:t>
            </w:r>
          </w:p>
        </w:tc>
        <w:tc>
          <w:tcPr>
            <w:tcW w:type="dxa" w:w="4320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br/>
              <w:t>Total</w:t>
            </w:r>
          </w:p>
        </w:tc>
      </w:tr>
      <w:tr>
        <w:trPr>
          <w:trHeight w:val="720"/>
        </w:trPr>
        <w:tc>
          <w:tcPr>
            <w:tcW w:type="dxa" w:w="864"/>
            <w:top w:val="nil" w:color="FFFFFF"/>
            <w:bottom w:val="nil" w:color="FFFFFF"/>
            <w:left w:val="nil" w:color="FFFFFF"/>
            <w:right w:val="nil" w:color="FFFFFF"/>
            <w:vMerge/>
          </w:tcPr>
          <w:p/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Net Tickets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 PW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Net Tickets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 PW</w:t>
            </w:r>
          </w:p>
        </w:tc>
        <w:tc>
          <w:tcPr>
            <w:tcW w:type="dxa" w:w="86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b/>
              </w:rPr>
              <w:t>Net Tickets</w:t>
            </w:r>
          </w:p>
        </w:tc>
        <w:tc>
          <w:tcPr>
            <w:tcW w:type="dxa" w:w="86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b/>
              </w:rPr>
              <w:t>YoY</w:t>
            </w:r>
          </w:p>
        </w:tc>
        <w:tc>
          <w:tcPr>
            <w:tcW w:type="dxa" w:w="86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b/>
              </w:rPr>
              <w:t>YoY PW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Priceline B2C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152K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+0.2%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-11.4%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27K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+13.7%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+8.5%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179K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+2.0%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-9.0%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Priceline B2B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+15.8%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+10.1%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+16.5%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+9.6%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+16.1%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+9.9%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</w: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br/>
              <w:t>Total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159K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+0.8%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-10.7%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33K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+14.2%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+8.7%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191K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+2.8%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-8.0%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48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720"/>
        </w:trPr>
        <w:tc>
          <w:tcPr>
            <w:tcW w:type="dxa" w:w="4320"/>
            <w:top w:val="nil" w:color="FFFFFF"/>
            <w:bottom w:val="nil" w:color="FFFFFF"/>
            <w:left w:val="nil" w:color="FFFFFF"/>
            <w:right w:val="nil" w:color="FFFFFF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2"/>
                <w:rFonts w:ascii="Montserrat" w:hAnsi="Montserrat"/>
              </w:rPr>
              <w:t>Carrier</w:t>
            </w:r>
          </w:p>
        </w:tc>
        <w:tc>
          <w:tcPr>
            <w:tcW w:type="dxa" w:w="432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45720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Retail</w:t>
            </w:r>
          </w:p>
        </w:tc>
        <w:tc>
          <w:tcPr>
            <w:tcW w:type="dxa" w:w="432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45720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Express</w:t>
            </w:r>
          </w:p>
        </w:tc>
        <w:tc>
          <w:tcPr>
            <w:tcW w:type="dxa" w:w="4320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br/>
              <w:t>Total</w:t>
            </w:r>
          </w:p>
        </w:tc>
      </w:tr>
      <w:tr>
        <w:trPr>
          <w:trHeight w:val="720"/>
        </w:trPr>
        <w:tc>
          <w:tcPr>
            <w:tcW w:type="dxa" w:w="864"/>
            <w:top w:val="nil" w:color="FFFFFF"/>
            <w:bottom w:val="nil" w:color="FFFFFF"/>
            <w:left w:val="nil" w:color="FFFFFF"/>
            <w:right w:val="nil" w:color="FFFFFF"/>
            <w:vMerge/>
          </w:tcPr>
          <w:p/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Net Tickets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 PW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Net Tickets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 PW</w:t>
            </w:r>
          </w:p>
        </w:tc>
        <w:tc>
          <w:tcPr>
            <w:tcW w:type="dxa" w:w="86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b/>
              </w:rPr>
              <w:t>Net Tickets</w:t>
            </w:r>
          </w:p>
        </w:tc>
        <w:tc>
          <w:tcPr>
            <w:tcW w:type="dxa" w:w="86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b/>
              </w:rPr>
              <w:t>YoY</w:t>
            </w:r>
          </w:p>
        </w:tc>
        <w:tc>
          <w:tcPr>
            <w:tcW w:type="dxa" w:w="86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b/>
              </w:rPr>
              <w:t>YoY PW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9988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98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31K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-5.7%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-10.9%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-29.1%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-29.0%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37K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-11.1%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-16.0%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22K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-5.7%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-20.6%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-70.4%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+63.5%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23K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-17.5%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-17.9%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18K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+9.3%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-21.7%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10K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+3.7%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-6.0%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27K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+7.2%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-16.0%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-19.3%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-31.3%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-19.3%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-31.3%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876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+38.3%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+25.3%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+38.3%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+25.3%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669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669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5K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+36.9%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+1.8%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3K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+61.5%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+7.2%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8K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+45.0%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+3.7%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+18.9%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-15.1%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+18.9%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-15.1%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125415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415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Other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20K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+28.8%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+15.2%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-67.6%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-93.2%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20K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+28.0%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+13.7%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</w: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br/>
              <w:t>Total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131K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+4.2%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-10.8%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21K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-19.1%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-14.3%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152K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+0.2%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-11.4%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Priceline, B2C, Standalone (not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96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720"/>
        </w:trPr>
        <w:tc>
          <w:tcPr>
            <w:tcW w:type="dxa" w:w="4320"/>
            <w:top w:val="nil" w:color="FFFFFF"/>
            <w:bottom w:val="nil" w:color="FFFFFF"/>
            <w:left w:val="nil" w:color="FFFFFF"/>
            <w:right w:val="nil" w:color="FFFFFF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2"/>
                <w:rFonts w:ascii="Montserrat" w:hAnsi="Montserrat"/>
              </w:rPr>
              <w:t>Channel</w:t>
            </w:r>
          </w:p>
        </w:tc>
        <w:tc>
          <w:tcPr>
            <w:tcW w:type="dxa" w:w="432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45720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App</w:t>
            </w:r>
          </w:p>
        </w:tc>
        <w:tc>
          <w:tcPr>
            <w:tcW w:type="dxa" w:w="432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45720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4320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br/>
              <w:t>Total</w:t>
            </w:r>
          </w:p>
        </w:tc>
      </w:tr>
      <w:tr>
        <w:trPr>
          <w:trHeight w:val="720"/>
        </w:trPr>
        <w:tc>
          <w:tcPr>
            <w:tcW w:type="dxa" w:w="864"/>
            <w:top w:val="nil" w:color="FFFFFF"/>
            <w:bottom w:val="nil" w:color="FFFFFF"/>
            <w:left w:val="nil" w:color="FFFFFF"/>
            <w:right w:val="nil" w:color="FFFFFF"/>
            <w:vMerge/>
          </w:tcPr>
          <w:p/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Net Tickets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 PW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Net Tickets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 PW</w:t>
            </w:r>
          </w:p>
        </w:tc>
        <w:tc>
          <w:tcPr>
            <w:tcW w:type="dxa" w:w="86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b/>
              </w:rPr>
              <w:t>Net Tickets</w:t>
            </w:r>
          </w:p>
        </w:tc>
        <w:tc>
          <w:tcPr>
            <w:tcW w:type="dxa" w:w="86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b/>
              </w:rPr>
              <w:t>YoY</w:t>
            </w:r>
          </w:p>
        </w:tc>
        <w:tc>
          <w:tcPr>
            <w:tcW w:type="dxa" w:w="86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b/>
              </w:rPr>
              <w:t>YoY PW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29K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-2.6%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-10.0%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24K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-10.5%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-24.2%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53K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-6.3%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-16.7%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-14.2%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-15.6%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35K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+2.4%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-16.4%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37K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+1.3%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-16.4%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-12.6%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-7.0%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18K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+5.6%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-6.7%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21K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+3.4%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-6.7%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-0.1%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-11.2%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-4.3%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-12.4%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19K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-3.0%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-12.0%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+12.4%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+19.7%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11K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+3.9%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-8.0%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11K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+3.9%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-7.8%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3K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+144.2%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+158.1%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-21.3%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-24.8%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+8.0%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+6.7%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+60.0%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+233.3%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+128.1%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+120.0%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+127.9%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+120.4%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</w: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br/>
              <w:t>Total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42K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+0.8%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-5.6%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110K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0.0%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-13.5%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152K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+0.2%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-11.4%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96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720"/>
        </w:trPr>
        <w:tc>
          <w:tcPr>
            <w:tcW w:type="dxa" w:w="4320"/>
            <w:top w:val="nil" w:color="FFFFFF"/>
            <w:bottom w:val="nil" w:color="FFFFFF"/>
            <w:left w:val="nil" w:color="FFFFFF"/>
            <w:right w:val="nil" w:color="FFFFFF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2"/>
                <w:rFonts w:ascii="Montserrat" w:hAnsi="Montserrat"/>
              </w:rPr>
              <w:t>Source</w:t>
            </w:r>
          </w:p>
        </w:tc>
        <w:tc>
          <w:tcPr>
            <w:tcW w:type="dxa" w:w="432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45720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Published</w:t>
            </w:r>
          </w:p>
        </w:tc>
        <w:tc>
          <w:tcPr>
            <w:tcW w:type="dxa" w:w="4320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45720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Private</w:t>
            </w:r>
          </w:p>
        </w:tc>
        <w:tc>
          <w:tcPr>
            <w:tcW w:type="dxa" w:w="4320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br/>
              <w:t>Total</w:t>
            </w:r>
          </w:p>
        </w:tc>
      </w:tr>
      <w:tr>
        <w:trPr>
          <w:trHeight w:val="720"/>
        </w:trPr>
        <w:tc>
          <w:tcPr>
            <w:tcW w:type="dxa" w:w="864"/>
            <w:top w:val="nil" w:color="FFFFFF"/>
            <w:bottom w:val="nil" w:color="FFFFFF"/>
            <w:left w:val="nil" w:color="FFFFFF"/>
            <w:right w:val="nil" w:color="FFFFFF"/>
            <w:vMerge/>
          </w:tcPr>
          <w:p/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Net Tickets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 PW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Net Tickets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</w:t>
            </w:r>
          </w:p>
        </w:tc>
        <w:tc>
          <w:tcPr>
            <w:tcW w:type="dxa" w:w="864"/>
            <w:vAlign w:val="center"/>
            <w:shd w:val="clear" w:fill="FFFFFF"/>
          </w:tcPr>
          <w:p>
            <w:pPr>
              <w:jc w:val="center"/>
            </w:pPr>
            <w:r>
              <w:t>YoY PW</w:t>
            </w:r>
          </w:p>
        </w:tc>
        <w:tc>
          <w:tcPr>
            <w:tcW w:type="dxa" w:w="86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b/>
              </w:rPr>
              <w:t>Net Tickets</w:t>
            </w:r>
          </w:p>
        </w:tc>
        <w:tc>
          <w:tcPr>
            <w:tcW w:type="dxa" w:w="86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b/>
              </w:rPr>
              <w:t>YoY</w:t>
            </w:r>
          </w:p>
        </w:tc>
        <w:tc>
          <w:tcPr>
            <w:tcW w:type="dxa" w:w="86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b/>
              </w:rPr>
              <w:t>YoY PW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63K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-0.1%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-11.4%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+98.4%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+95.6%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70K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+5.0%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-4.3%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Indirect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65K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+19.7%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-0.9%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15K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-46.8%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-48.6%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80K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-3.0%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-16.3%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Phone Sales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-26.8%</w:t>
            </w:r>
          </w:p>
        </w:tc>
        <w:tc>
          <w:tcPr>
            <w:tcW w:type="dxa" w:w="7200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-39.9%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-26.8%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-39.9%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</w: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br/>
              <w:t>Total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129K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+9.1%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-6.4%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23K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-30.8%</w:t>
            </w:r>
          </w:p>
        </w:tc>
        <w:tc>
          <w:tcPr>
            <w:tcW w:type="dxa" w:w="7200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-29.2%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152K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+0.2%</w:t>
            </w:r>
          </w:p>
        </w:tc>
        <w:tc>
          <w:tcPr>
            <w:tcW w:type="dxa" w:w="7200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-11.4%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Indirect Connect = GDS + Aggregators + Consolidators + NDC-X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60"/>
        <w:gridCol w:w="144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720"/>
        </w:trPr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288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54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54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20"/>
        </w:trPr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Actual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YoY(bPs)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YoY PW(bps)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Actual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YoY(bPs)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t>YoY PW(bps)</w:t>
            </w:r>
          </w:p>
        </w:tc>
      </w:tr>
      <w:tr>
        <w:trPr>
          <w:trHeight w:val="720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Market Share</w:t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731520" cy="2743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371600" cy="2743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Parity</w:t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37160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Direct vs Expedia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95.1%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495.0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653.0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Kayak Placement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13.1%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180.0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67.0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12.9%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379.0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241.0</w:t>
            </w:r>
          </w:p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Skyscanner Placement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17.7%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858.0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6"/>
                <w:rFonts w:ascii="Montserrat" w:hAnsi="Montserrat"/>
              </w:rPr>
              <w:t>863.0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31.5%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-526.0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-547.0</w:t>
            </w:r>
          </w:p>
        </w:tc>
      </w:tr>
      <w:tr>
        <w:trPr>
          <w:trHeight w:val="720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Share of Business</w:t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US Outbound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10.3%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-55.0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-66.0</w:t>
            </w:r>
          </w:p>
        </w:tc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731520" cy="7315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Merchant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Retail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8.7%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-289.2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-4.8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Total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18.7%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-521.5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-90.2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Deals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33.5%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-434.0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6"/>
                <w:rFonts w:ascii="Montserrat" w:hAnsi="Montserrat"/>
              </w:rPr>
              <w:t>-533.0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2880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t>Bookability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