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8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720"/>
        </w:trPr>
        <w:tc>
          <w:tcPr>
            <w:tcW w:type="dxa" w:w="1440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440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720"/>
        </w:trPr>
        <w:tc>
          <w:tcPr>
            <w:tcW w:type="dxa" w:w="288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720"/>
        </w:trP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194K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720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208K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+2.0%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720"/>
        </w:trP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$2M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+9.3%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720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$3M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+10.5%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720"/>
        </w:trP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168K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  <w:tc>
          <w:tcPr>
            <w:tcW w:type="dxa" w:w="1440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720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180K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 and Express Deals)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Revenue includes commission/margin/seats/bags/Wenrix. Does not include insurance.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800" w:type="pct"/>
      </w:tblPr>
      <w:tblGrid>
        <w:gridCol w:w="2448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720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2"/>
                <w:rFonts w:ascii="Montserrat" w:hAnsi="Montserrat"/>
              </w:rPr>
              <w:t>Carrier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Retail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720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720"/>
        </w:trPr>
        <w:tc>
          <w:tcPr>
            <w:tcW w:type="dxa" w:w="2448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9988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988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-29.1%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39K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</w:tr>
      <w:tr>
        <w:trPr>
          <w:trHeight w:val="720"/>
        </w:trPr>
        <w:tc>
          <w:tcPr>
            <w:tcW w:type="dxa" w:w="2448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5576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5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+158.9%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</w:tr>
      <w:tr>
        <w:trPr>
          <w:trHeight w:val="720"/>
        </w:trPr>
        <w:tc>
          <w:tcPr>
            <w:tcW w:type="dxa" w:w="2448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884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884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</w:tr>
      <w:tr>
        <w:trPr>
          <w:trHeight w:val="720"/>
        </w:trPr>
        <w:tc>
          <w:tcPr>
            <w:tcW w:type="dxa" w:w="2448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4187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18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-19.3%</w:t>
            </w:r>
          </w:p>
        </w:tc>
      </w:tr>
      <w:tr>
        <w:trPr>
          <w:trHeight w:val="720"/>
        </w:trPr>
        <w:tc>
          <w:tcPr>
            <w:tcW w:type="dxa" w:w="2448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3876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8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+38.3%</w:t>
            </w:r>
          </w:p>
        </w:tc>
      </w:tr>
      <w:tr>
        <w:trPr>
          <w:trHeight w:val="720"/>
        </w:trPr>
        <w:tc>
          <w:tcPr>
            <w:tcW w:type="dxa" w:w="2448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669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669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+61.5%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+45.0%</w:t>
            </w:r>
          </w:p>
        </w:tc>
      </w:tr>
      <w:tr>
        <w:trPr>
          <w:trHeight w:val="720"/>
        </w:trPr>
        <w:tc>
          <w:tcPr>
            <w:tcW w:type="dxa" w:w="2448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7842" cy="3657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842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+18.9%</w:t>
            </w:r>
          </w:p>
        </w:tc>
      </w:tr>
      <w:tr>
        <w:trPr>
          <w:trHeight w:val="720"/>
        </w:trPr>
        <w:tc>
          <w:tcPr>
            <w:tcW w:type="dxa" w:w="2448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473798" cy="3657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798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+28.8%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-80.1%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-67.6%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+28.0%</w:t>
            </w:r>
          </w:p>
        </w:tc>
      </w:tr>
      <w:tr>
        <w:trPr>
          <w:trHeight w:val="720"/>
        </w:trPr>
        <w:tc>
          <w:tcPr>
            <w:tcW w:type="dxa" w:w="2448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</w: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br/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131K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+9.6%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-19.1%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153K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Priceline, B2C, Standalone (not normalized)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800" w:type="pct"/>
      </w:tblPr>
      <w:tblGrid>
        <w:gridCol w:w="1296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720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2"/>
                <w:rFonts w:ascii="Montserrat" w:hAnsi="Montserrat"/>
              </w:rPr>
              <w:t>Channel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720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53K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+13.1%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+186.5%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+144.2%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+155.6%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+109.7%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+128.1%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+109.9%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+127.9%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</w: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br/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42K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+10.1%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111K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+7.6%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153K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Deals, not normalized)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800" w:type="pct"/>
      </w:tblPr>
      <w:tblGrid>
        <w:gridCol w:w="1296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720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2"/>
                <w:rFonts w:ascii="Montserrat" w:hAnsi="Montserrat"/>
              </w:rPr>
              <w:t>Source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Published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Private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720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+106.1%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+98.4%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72K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-26.8%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6"/>
                <w:rFonts w:ascii="Montserrat" w:hAnsi="Montserrat"/>
              </w:rPr>
            </w:r>
            <w:r>
              <w:rPr>
                <w:rFonts w:ascii="Montserrat" w:hAnsi="Montserrat"/>
                <w:b/>
                <w:sz w:val="16"/>
                <w:rFonts w:ascii="Montserrat" w:hAnsi="Montserrat"/>
              </w:rPr>
              <w:br/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129K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+12.9%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+9.1%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153K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160"/>
        <w:gridCol w:w="144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720"/>
        </w:trPr>
        <w:tc>
          <w:tcPr>
            <w:tcW w:type="dxa" w:w="2880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288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20"/>
        </w:trPr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6"/>
                <w:rFonts w:ascii="Montserrat" w:hAnsi="Montserrat"/>
              </w:rPr>
              <w:t>Actual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6"/>
                <w:rFonts w:ascii="Montserrat" w:hAnsi="Montserrat"/>
              </w:rPr>
              <w:t>YoY(bPs)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6"/>
                <w:rFonts w:ascii="Montserrat" w:hAnsi="Montserrat"/>
              </w:rPr>
              <w:t>YoY PW(bps)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6"/>
                <w:rFonts w:ascii="Montserrat" w:hAnsi="Montserrat"/>
              </w:rPr>
              <w:t>Actual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6"/>
                <w:rFonts w:ascii="Montserrat" w:hAnsi="Montserrat"/>
              </w:rPr>
              <w:t>YoY(bPs)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6"/>
                <w:rFonts w:ascii="Montserrat" w:hAnsi="Montserrat"/>
              </w:rPr>
              <w:t>YoY PW(bps)</w:t>
            </w:r>
          </w:p>
        </w:tc>
      </w:tr>
      <w:tr>
        <w:trPr>
          <w:trHeight w:val="720"/>
        </w:trPr>
        <w:tc>
          <w:tcPr>
            <w:tcW w:type="dxa" w:w="96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br/>
            </w:r>
            <w:r>
              <w:rPr>
                <w:rFonts w:ascii="Montserrat" w:hAnsi="Montserrat"/>
                <w:b/>
                <w:color w:val="000000"/>
                <w:sz w:val="16"/>
                <w:rFonts w:ascii="Montserrat" w:hAnsi="Montserrat"/>
              </w:rPr>
              <w:t>Market Share</w:t>
            </w:r>
          </w:p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720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27432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1.3%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</w:t>
            </w:r>
          </w:p>
        </w:tc>
        <w:tc>
          <w:tcPr>
            <w:tcW w:type="dxa" w:w="2880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720"/>
        </w:trPr>
        <w:tc>
          <w:tcPr>
            <w:tcW w:type="dxa" w:w="96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br/>
            </w:r>
            <w:r>
              <w:rPr>
                <w:rFonts w:ascii="Montserrat" w:hAnsi="Montserrat"/>
                <w:b/>
                <w:color w:val="000000"/>
                <w:sz w:val="16"/>
                <w:rFonts w:ascii="Montserrat" w:hAnsi="Montserrat"/>
              </w:rPr>
              <w:t>Parity</w:t>
            </w:r>
          </w:p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t>Direct vs Expedia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93.1%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720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t>Kayak Placement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12.3%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11.9%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+380</w:t>
            </w:r>
          </w:p>
        </w:tc>
      </w:tr>
      <w:tr>
        <w:trPr>
          <w:trHeight w:val="720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t>Skyscanner Placement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16.8%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+860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29.2%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-530</w:t>
            </w:r>
          </w:p>
        </w:tc>
      </w:tr>
      <w:tr>
        <w:trPr>
          <w:trHeight w:val="720"/>
        </w:trPr>
        <w:tc>
          <w:tcPr>
            <w:tcW w:type="dxa" w:w="96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6"/>
                <w:rFonts w:ascii="Montserrat" w:hAnsi="Montserrat"/>
              </w:rPr>
              <w:br/>
            </w:r>
            <w:r>
              <w:rPr>
                <w:rFonts w:ascii="Montserrat" w:hAnsi="Montserrat"/>
                <w:b/>
                <w:color w:val="000000"/>
                <w:sz w:val="16"/>
                <w:rFonts w:ascii="Montserrat" w:hAnsi="Montserrat"/>
              </w:rPr>
              <w:t>Share of Business</w:t>
            </w:r>
          </w:p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t>US Outbound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11.0%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</w:t>
            </w:r>
          </w:p>
        </w:tc>
        <w:tc>
          <w:tcPr>
            <w:tcW w:type="dxa" w:w="2880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720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t>Merchant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9.3%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+85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-289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720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19.5%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-521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720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t>Deals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34.5%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720"/>
        </w:trPr>
        <w:tc>
          <w:tcPr>
            <w:tcW w:type="dxa" w:w="2880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t>Bookability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TSA market share: US origin tickets vs TSA passengers, based on travel date,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800" w:type="pct"/>
      </w:tblPr>
      <w:tblGrid>
        <w:gridCol w:w="1296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720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2"/>
                <w:rFonts w:ascii="Montserrat" w:hAnsi="Montserrat"/>
              </w:rPr>
              <w:t>Channel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720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841K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+26.1%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0.99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841K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+26.1%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0.99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53K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7.36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53K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7.36</w:t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720"/>
        </w:trPr>
        <w:tc>
          <w:tcPr>
            <w:tcW w:type="dxa" w:w="1296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0.93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0.93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