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rFonts w:ascii="Montserrat" w:hAnsi="Montserrat"/>
          <w:b/>
          <w:sz w:val="36"/>
          <w:rFonts w:ascii="Montserrat" w:hAnsi="Montserrat"/>
        </w:rPr>
        <w:t>Summary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576"/>
        </w:trPr>
        <w:tc>
          <w:tcPr>
            <w:tcW w:type="dxa" w:w="1152"/>
            <w:gridSpan w:val="3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styear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Last Year</w:t>
            </w:r>
          </w:p>
        </w:tc>
        <w:tc>
          <w:tcPr>
            <w:tcW w:type="dxa" w:w="1152"/>
            <w:gridSpan w:val="5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 xml:space="preserve"> vs. Plan</w:t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Metric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Net/Gross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Reporting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Previous Week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MTD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QTD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YTD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cke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-7.6%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-8.5%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211K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venu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Revenue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$2.0M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+3.5%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$2.2M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+7.9%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rmalized Ticket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t>Normalized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Net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168K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-2.8%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-6.8%</w:t>
            </w:r>
          </w:p>
        </w:tc>
        <w:tc>
          <w:tcPr>
            <w:tcW w:type="dxa" w:w="1152"/>
            <w:gridSpan w:val="5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Gross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179K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  <w:tc>
          <w:tcPr>
            <w:tcW w:type="dxa" w:w="4320"/>
            <w:gridSpan w:val="5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</w:tr>
      <w:tr>
        <w:trPr>
          <w:trHeight w:val="576"/>
        </w:trPr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30175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sa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3017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 xml:space="preserve"> Market Share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-2.2%</w:t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B2B, Package and Express Deals)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Normalized tickets are counted the same as tickets, except split tickets count as 1 instead of 2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Refunds are assigned to refund date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Revenue is contribution w/fee + GDS incentives.  Does not include package.Revenue includes commission/margin/seats/bags/Wenrix. Does not include insurance.Revenue is contribution w/fee and includes commission/margin/seats/bags/Wenrix. Does not include package revenue or insurance.</w:t>
      </w:r>
    </w:p>
    <w:p>
      <w:pPr>
        <w:pStyle w:val="ListBullet"/>
        <w:numPr>
          <w:ilvl w:val="0"/>
          <w:numId w:val="1"/>
        </w:numPr>
      </w:pPr>
      <w:r>
        <w:rPr>
          <w:rFonts w:ascii="Montserrat" w:hAnsi="Montserrat"/>
          <w:b w:val="0"/>
          <w:sz w:val="14"/>
          <w:rFonts w:ascii="Montserrat" w:hAnsi="Montserrat"/>
        </w:rPr>
        <w:t>TSA market share: travel date; numerator counts all slices (OW is 1 slice; RT is 2 slices) where the first segment is either US domestic or US outbound (includes Agoda, Booking, Rocket Travel, White Labels, Phone Sales); denominator includes all people passing through TSA screening machines</w:t>
      </w:r>
    </w:p>
    <w:p>
      <w:r>
        <w:rPr>
          <w:rFonts w:ascii="Montserrat" w:hAnsi="Montserrat"/>
          <w:b/>
          <w:sz w:val="36"/>
          <w:rFonts w:ascii="Montserrat" w:hAnsi="Montserrat"/>
        </w:rPr>
        <w:t>Total Business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Business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ndalon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Standalone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ck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Package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C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+37.3%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183K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-7.8%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B2B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+19.7%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+34.3%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+26.1%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38K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+40.6%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+36.9%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All Priceline tickets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>Priceline B2C Standalone - Detail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872"/>
        <w:gridCol w:w="1872"/>
        <w:gridCol w:w="1872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Carrier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Retail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res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Express Deals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02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merican Airlines (AA)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19202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lta Air Lines (DL)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-24.9%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+28.9%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+70.4%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286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ed Airlines (UA)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24688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irit Airlines (NK)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46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05840" cy="21945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ontier Airlines (F9)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1520" cy="2286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laska Airlines (AS)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+23.7%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" cy="2286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etBlue Airways (B6)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+76.3%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+27.7%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+76.3%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ther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  <w:t>Other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-9.9%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-17.7%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133K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-15.4%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-2.9%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728"/>
        <w:gridCol w:w="1728"/>
        <w:gridCol w:w="1728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33K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26K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60K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</w:tcPr>
          <w:p>
            <w:pPr>
              <w:jc w:val="center"/>
            </w:pPr>
            <w:r>
              <w:t xml:space="preserve">logo_path miss 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+11.7%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50K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-22.8%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55K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-21.5%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-7.9%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+77.4%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+128.6%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-11.7%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45K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106K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-14.8%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r>
        <w:rPr>
          <w:rFonts w:ascii="Montserrat" w:hAnsi="Montserrat"/>
          <w:b/>
          <w:sz w:val="36"/>
          <w:rFonts w:ascii="Montserrat" w:hAnsi="Montserrat"/>
        </w:rPr>
        <w:t xml:space="preserve"> 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584"/>
        <w:gridCol w:w="1440"/>
        <w:gridCol w:w="1440"/>
        <w:gridCol w:w="1584"/>
        <w:gridCol w:w="1440"/>
        <w:gridCol w:w="1440"/>
        <w:gridCol w:w="1584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Source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ublished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Published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vat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Private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Net Tickets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YoY PW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 Connect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+12095.2%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+4095.1%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-2.5%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-6.9%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direct Connect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Indirect Connect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68K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-5.3%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-10.8%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-41.6%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-41.3%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82K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-14.6%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-18.1%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 Sales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Phone Sales</w:t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top w:val="nil" w:color="FFFFFF"/>
            <w:bottom w:val="nil" w:color="FFFFFF"/>
            <w:left w:val="nil" w:color="FFFFFF"/>
            <w:right w:val="nil" w:color="FFFFFF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-48.1%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-38.9%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129K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-9.2%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-14.0%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152K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-13.7%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Priceline (excluding phone sales), B2C, Standalone (includes Express Deals, not normalized)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Indirect Connect = GDS + Aggregators + Consolidators + NDC-X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Other Metrics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584"/>
        <w:gridCol w:w="1008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trHeight w:val="576"/>
        </w:trPr>
        <w:tc>
          <w:tcPr>
            <w:tcW w:type="dxa" w:w="1152"/>
            <w:gridSpan w:val="3"/>
            <w:vMerge w:val="restart"/>
            <w:shd w:val="clear" w:fill="FFFFFF"/>
          </w:tcPr>
          <w:p/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7548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lin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754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52"/>
            <w:gridSpan w:val="3"/>
            <w:shd w:val="clear" w:fill="FFFFFF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0160" cy="25603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256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76"/>
        </w:trPr>
        <w:tc>
          <w:tcPr>
            <w:tcW w:type="dxa" w:w="2880"/>
            <w:gridSpan w:val="3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Actual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(bps)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000000"/>
                <w:sz w:val="20"/>
                <w:rFonts w:ascii="Montserrat" w:hAnsi="Montserrat"/>
              </w:rPr>
              <w:t>YoY PW (bps)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rket Shar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Market Share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548640" cy="2286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dt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MIDT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4.1%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82880" cy="18288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SEM Impressions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rity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Parity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914400" cy="18288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xpedia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182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Direct vs Expedia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93.9%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-40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210312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ayak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Kayak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12.5%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14.5%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+500</w:t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1097280" cy="192024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kyscanner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92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Skyscanner Placement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16.3%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+790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+780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30.2%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-870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-880</w:t>
            </w:r>
          </w:p>
        </w:tc>
      </w:tr>
      <w:tr>
        <w:trPr>
          <w:trHeight w:val="576"/>
        </w:trPr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e of Business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t>Share of Business</w:t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</w:r>
          </w:p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soutbound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US Outbound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10.0%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vMerge w:val="restart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rchant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Merchant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Retail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16.0%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+920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+750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24.2%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+730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960"/>
            <w:vMerge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als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Deals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color w:val="000000"/>
                <w:sz w:val="20"/>
                <w:rFonts w:ascii="Montserrat" w:hAnsi="Montserrat"/>
              </w:rPr>
              <w:t>36.1%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+320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+460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shd w:val="clear" w:fill="FFFFFF"/>
          </w:tcPr>
          <w:p/>
        </w:tc>
        <w:tc>
          <w:tcPr>
            <w:tcW w:type="dxa" w:w="1152"/>
            <w:gridSpan w:val="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okability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color w:val="000000"/>
                <w:sz w:val="14"/>
                <w:rFonts w:ascii="Montserrat" w:hAnsi="Montserrat"/>
              </w:rPr>
              <w:br/>
              <w:t>Bookability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shd w:val="clear" w:fill="FFFFFF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ARC market share: OTA only, US POS, does not include NK/SY, includes Agoda/Booking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MIDT market share: GDS only, all carriers, US POS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impression share: percentage of eligible impressions we show at the absolute top of the ads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Direct parity vs Expedia: US origins, win+tie rate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Kayak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Skyscanner placement: US origins, availability in the top 4 positions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US outbound share: ticket share for US origins, international destinations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Merchant share: ticket share where Priceline is merchant of record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Deal share: share of tickets sold as a deal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Bookability: acceptance rate, includes multiple attempts by same user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ROI</w:t>
      </w:r>
    </w:p>
    <w:p/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440"/>
        <w:gridCol w:w="1440"/>
        <w:gridCol w:w="1440"/>
        <w:gridCol w:w="1440"/>
        <w:gridCol w:w="1728"/>
        <w:gridCol w:w="1728"/>
        <w:gridCol w:w="1728"/>
        <w:gridCol w:w="1440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3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3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86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Cost YoY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ROI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1.08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-16.7%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1.08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6.54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61K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+4.0%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6.54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1.2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-33.3%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1.2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&lt;1K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743K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-15.7%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1.53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p>
      <w:r>
        <w:rPr>
          <w:rFonts w:ascii="Montserrat" w:hAnsi="Montserrat"/>
          <w:b/>
          <w:sz w:val="36"/>
          <w:rFonts w:ascii="Montserrat" w:hAnsi="Montserrat"/>
        </w:rPr>
        <w:t>DAU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W w:w="2500" w:type="pct"/>
      </w:tblPr>
      <w:tblGrid>
        <w:gridCol w:w="1440"/>
        <w:gridCol w:w="1440"/>
        <w:gridCol w:w="1440"/>
        <w:gridCol w:w="1728"/>
        <w:gridCol w:w="1728"/>
        <w:gridCol w:w="1440"/>
        <w:gridCol w:w="1440"/>
      </w:tblGrid>
      <w:tr>
        <w:trPr>
          <w:trHeight w:val="576"/>
        </w:trPr>
        <w:tc>
          <w:tcPr>
            <w:tcW w:type="dxa" w:w="1152"/>
            <w:vMerge w:val="restart"/>
            <w:shd w:val="clear" w:fill="FFFFFF"/>
            <w:top w:val="nil" w:color="FFFFFF"/>
            <w:bottom w:val="nil" w:color="FFFFFF"/>
            <w:left w:val="nil" w:color="FFFFFF"/>
            <w:right w:val="nil" w:color="FFFFFF"/>
            <w:vAlign w:val="bottom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8"/>
                <w:rFonts w:ascii="Montserrat" w:hAnsi="Montserrat"/>
              </w:rPr>
              <w:t>Channel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pp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App</w:t>
            </w:r>
          </w:p>
        </w:tc>
        <w:tc>
          <w:tcPr>
            <w:tcW w:type="dxa" w:w="1152"/>
            <w:gridSpan w:val="2"/>
            <w:shd w:val="clear" w:fill="FFFFFF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t xml:space="preserve">
</w:t>
              <w:t xml:space="preserve">
</w:t>
              <w:drawing>
                <wp:inline xmlns:a="http://schemas.openxmlformats.org/drawingml/2006/main" xmlns:pic="http://schemas.openxmlformats.org/drawingml/2006/picture">
                  <wp:extent cx="365760" cy="3657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Web Desktop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/>
                <w:sz w:val="14"/>
                <w:rFonts w:ascii="Montserrat" w:hAnsi="Montserrat"/>
              </w:rPr>
              <w:br/>
              <w:t>MWeb/Desktop</w:t>
            </w:r>
          </w:p>
        </w:tc>
        <w:tc>
          <w:tcPr>
            <w:tcW w:type="dxa" w:w="1152"/>
            <w:gridSpan w:val="2"/>
            <w:shd w:val="clear" w:fill="FFFFFF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 xml:space="preserve"> </w:t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br/>
              <w:t>Total</w:t>
            </w:r>
          </w:p>
        </w:tc>
      </w:tr>
      <w:tr>
        <w:trPr>
          <w:trHeight w:val="576"/>
        </w:trPr>
        <w:tc>
          <w:tcPr>
            <w:tcW w:type="dxa" w:w="1234"/>
            <w:vMerge/>
            <w:shd w:val="clear" w:fill="FFFFFF"/>
            <w:top w:val="nil" w:color="FFFFFF"/>
            <w:bottom w:val="nil" w:color="FFFFFF"/>
            <w:left w:val="nil" w:color="FFFFFF"/>
            <w:right w:val="nil" w:color="FFFFFF"/>
          </w:tcPr>
          <w:p/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DAU</w:t>
            </w:r>
          </w:p>
        </w:tc>
        <w:tc>
          <w:tcPr>
            <w:tcW w:type="dxa" w:w="1152"/>
            <w:shd w:val="clear" w:fill="FFFFFF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Conversion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rect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Direct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479K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479K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+5.9%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Cor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215K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+6.3%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M Brand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SEM Brand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107K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+8.5%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p PPC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Shop PPC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664K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664K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+1.1%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ffiliat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Affiliate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24K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+18.4%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mail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Email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14"/>
                <w:rFonts w:ascii="Montserrat" w:hAnsi="Montserrat"/>
                <w:rFonts w:ascii="Montserrat" w:hAnsi="Montserrat"/>
              </w:rPr>
              <w:drawing>
                <wp:inline xmlns:a="http://schemas.openxmlformats.org/drawingml/2006/main" xmlns:pic="http://schemas.openxmlformats.org/drawingml/2006/picture">
                  <wp:extent cx="365760" cy="36576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eta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ontserrat" w:hAnsi="Montserrat"/>
                <w:b w:val="0"/>
                <w:sz w:val="14"/>
                <w:rFonts w:ascii="Montserrat" w:hAnsi="Montserrat"/>
              </w:rPr>
              <w:br/>
              <w:t>Meta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 w:val="0"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17K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6AA84F"/>
                <w:sz w:val="20"/>
                <w:rFonts w:ascii="Montserrat" w:hAnsi="Montserrat"/>
              </w:rPr>
              <w:t>+3.9%</w:t>
            </w:r>
          </w:p>
        </w:tc>
      </w:tr>
      <w:tr>
        <w:trPr>
          <w:trHeight w:val="576"/>
        </w:trPr>
        <w:tc>
          <w:tcPr>
            <w:tcW w:type="dxa" w:w="1152"/>
            <w:vAlign w:val="center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Total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0.0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sz w:val="20"/>
                <w:rFonts w:ascii="Montserrat" w:hAnsi="Montserrat"/>
              </w:rPr>
              <w:t>1.5M</w:t>
            </w:r>
          </w:p>
        </w:tc>
        <w:tc>
          <w:tcPr>
            <w:tcW w:type="dxa" w:w="1152"/>
            <w:vAlign w:val="center"/>
            <w:shd w:fill="D3D3D3"/>
            <w:shd w:fill="D3D3D3"/>
            <w:shd w:fill="D3D3D3"/>
          </w:tcPr>
          <w:p>
            <w:pPr>
              <w:jc w:val="center"/>
            </w:pPr>
            <w:r>
              <w:rPr>
                <w:rFonts w:ascii="Montserrat" w:hAnsi="Montserrat"/>
                <w:b/>
                <w:color w:val="FF0000"/>
                <w:sz w:val="20"/>
                <w:rFonts w:ascii="Montserrat" w:hAnsi="Montserrat"/>
              </w:rPr>
              <w:t>0.0%</w:t>
            </w:r>
          </w:p>
        </w:tc>
      </w:tr>
    </w:tbl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ROI = Contribution / Cost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SEM Brand includes all products, weighted by ratio of flight orders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Meta includes Kayak/Momondo, includes Kayak credit</w:t>
      </w:r>
    </w:p>
    <w:p>
      <w:pPr>
        <w:pStyle w:val="ListBullet"/>
      </w:pPr>
      <w:r>
        <w:rPr>
          <w:rFonts w:ascii="Montserrat" w:hAnsi="Montserrat"/>
          <w:b w:val="0"/>
          <w:sz w:val="14"/>
          <w:rFonts w:ascii="Montserrat" w:hAnsi="Montserrat"/>
        </w:rPr>
        <w:t>Last week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