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Ind w:w="0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229"/>
        <w:gridCol w:w="1980"/>
        <w:gridCol w:w="3075"/>
      </w:tblGrid>
      <w:tr w:rsidR="00000000" w14:paraId="0DA71D53" w14:textId="77777777">
        <w:trPr>
          <w:cantSplit/>
          <w:trHeight w:val="267"/>
          <w:jc w:val="center"/>
        </w:trPr>
        <w:tc>
          <w:tcPr>
            <w:tcW w:w="5209" w:type="dxa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AI-driven城市智慧停车管理与诱导系统</w:t>
            </w:r>
          </w:p>
        </w:tc>
        <w:tc>
          <w:tcPr>
            <w:tcW w:w="3075" w:type="dxa"/>
          </w:tcPr>
          <w:p w14:paraId="07316973" w14:textId="77777777" w:rsidR="005A68AE" w:rsidRDefault="005A68AE">
            <w:pPr>
              <w:pStyle w:val="a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密级</w:t>
            </w:r>
          </w:p>
        </w:tc>
      </w:tr>
      <w:tr w:rsidR="00000000" w14:paraId="6EE85167" w14:textId="77777777">
        <w:trPr>
          <w:cantSplit/>
          <w:trHeight w:val="239"/>
          <w:jc w:val="center"/>
        </w:trPr>
        <w:tc>
          <w:tcPr>
            <w:tcW w:w="5209" w:type="dxa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项目编号：SmartPark-19</w:t>
            </w:r>
          </w:p>
        </w:tc>
        <w:tc>
          <w:tcPr>
            <w:tcW w:w="3075" w:type="dxa"/>
          </w:tcPr>
          <w:p w14:paraId="68BE7DAD" w14:textId="77777777" w:rsidR="005A68AE" w:rsidRDefault="005A68AE">
            <w:pPr>
              <w:pStyle w:val="ae"/>
              <w:rPr>
                <w:rFonts w:ascii="宋体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仅供收件方查阅</w:t>
            </w:r>
          </w:p>
        </w:tc>
      </w:tr>
      <w:tr w:rsidR="00000000" w14:paraId="0BCDA170" w14:textId="77777777">
        <w:trPr>
          <w:cantSplit/>
          <w:trHeight w:val="631"/>
          <w:jc w:val="center"/>
        </w:trPr>
        <w:tc>
          <w:tcPr>
            <w:tcW w:w="3229" w:type="dxa"/>
            <w:tcBorders>
              <w:bottom w:val="single" w:sz="6" w:space="0" w:color="000000"/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项目编号</w:t>
            </w:r>
          </w:p>
        </w:tc>
        <w:tc>
          <w:tcPr>
            <w:tcW w:w="1980" w:type="dxa"/>
            <w:tcBorders>
              <w:left w:val="single" w:sz="4" w:space="0" w:color="auto"/>
              <w:bottom w:val="single" w:sz="6" w:space="0" w:color="000000"/>
            </w:tcBorders>
          </w:tcPr>
          <w:p w14:paraId="316D10DC" w14:textId="77777777" w:rsidR="005A68AE" w:rsidRDefault="005A68AE">
            <w:pPr>
              <w:pStyle w:val="ae"/>
              <w:rPr>
                <w:rFonts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版本</w:t>
            </w:r>
          </w:p>
        </w:tc>
        <w:tc>
          <w:tcPr>
            <w:tcW w:w="3075" w:type="dxa"/>
            <w:tcBorders>
              <w:bottom w:val="single" w:sz="4" w:space="0" w:color="auto"/>
            </w:tcBorders>
            <w:vAlign w:val="center"/>
          </w:tcPr>
          <w:p w14:paraId="402CA548" w14:textId="77777777" w:rsidR="005A68AE" w:rsidRDefault="005A68AE">
            <w:pPr>
              <w:pStyle w:val="ae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宋体" w:hint="eastAsia"/>
                <w:sz w:val="24"/>
                <w:szCs w:val="24"/>
              </w:rPr>
              <w:t>文档编号</w:t>
            </w:r>
          </w:p>
        </w:tc>
      </w:tr>
      <w:tr w:rsidR="00000000" w14:paraId="4DC93322" w14:textId="77777777">
        <w:trPr>
          <w:cantSplit/>
          <w:trHeight w:val="239"/>
          <w:jc w:val="center"/>
        </w:trPr>
        <w:tc>
          <w:tcPr>
            <w:tcW w:w="3229" w:type="dxa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SmartPark-19</w:t>
            </w:r>
          </w:p>
        </w:tc>
        <w:tc>
          <w:tcPr>
            <w:tcW w:w="1980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w="3075" w:type="dxa"/>
            <w:tcBorders>
              <w:top w:val="single" w:sz="4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SmartPark-SD-HLD-001</w:t>
            </w:r>
          </w:p>
        </w:tc>
      </w:tr>
    </w:tbl>
    <w:p w14:paraId="3ABB8B8C" w14:textId="77777777" w:rsidR="005A68AE" w:rsidRDefault="005A68AE">
      <w:pPr>
        <w:pStyle w:val="ac"/>
        <w:spacing w:line="240" w:lineRule="auto"/>
        <w:jc w:val="both"/>
        <w:rPr>
          <w:rFonts w:ascii="华文细黑" w:eastAsia="华文细黑" w:hint="eastAsia"/>
        </w:rPr>
      </w:pPr>
      <w:bookmarkStart w:id="2" w:name="文档名称"/>
    </w:p>
    <w:p w14:paraId="47E55ECA" w14:textId="77777777" w:rsidR="005A68AE" w:rsidRDefault="005A68AE">
      <w:pPr>
        <w:pStyle w:val="ac"/>
        <w:spacing w:line="240" w:lineRule="auto"/>
        <w:jc w:val="center"/>
        <w:rPr>
          <w:rFonts w:ascii="华文细黑" w:eastAsia="华文细黑" w:hint="eastAsia"/>
        </w:rPr>
      </w:pPr>
      <w:r>
        <w:rPr>
          <w:rFonts w:ascii="Times New Roman" w:hAnsi="Times New Roman" w:eastAsia="黑体"/>
          <w:b/>
          <w:sz w:val="44"/>
        </w:rPr>
        <w:t>AI-driven城市智慧停车管理与诱导系统概要设计说明书</w:t>
      </w:r>
    </w:p>
    <w:p w14:paraId="4572388F" w14:textId="77777777" w:rsidR="005A68AE" w:rsidRDefault="005A68AE">
      <w:pPr>
        <w:rPr>
          <w:rFonts w:hint="eastAsia"/>
        </w:rPr>
      </w:pPr>
    </w:p>
    <w:p w14:paraId="49F0A33C" w14:textId="77777777" w:rsidR="005A68AE" w:rsidRDefault="005A68AE">
      <w:pPr>
        <w:rPr>
          <w:rFonts w:hint="eastAsia"/>
        </w:rPr>
      </w:pPr>
    </w:p>
    <w:p w14:paraId="2FB3141B" w14:textId="77777777" w:rsidR="005A68AE" w:rsidRDefault="005A68AE">
      <w:pPr>
        <w:rPr>
          <w:rFonts w:hint="eastAsia"/>
        </w:rPr>
      </w:pPr>
    </w:p>
    <w:p w14:paraId="04172B73" w14:textId="77777777" w:rsidR="005A68AE" w:rsidRDefault="005A68AE">
      <w:pPr>
        <w:rPr>
          <w:rFonts w:hint="eastAsia"/>
        </w:rPr>
      </w:pPr>
    </w:p>
    <w:p w14:paraId="07EA93E0" w14:textId="77777777" w:rsidR="005A68AE" w:rsidRDefault="005A68AE">
      <w:pPr>
        <w:rPr>
          <w:rFonts w:hint="eastAsia"/>
        </w:rPr>
      </w:pPr>
    </w:p>
    <w:p w14:paraId="4D37BB96" w14:textId="77777777" w:rsidR="005A68AE" w:rsidRDefault="005A68AE">
      <w:pPr>
        <w:rPr>
          <w:rFonts w:hint="eastAsia"/>
        </w:rPr>
      </w:pPr>
    </w:p>
    <w:p w14:paraId="6E2440B5" w14:textId="77777777" w:rsidR="005A68AE" w:rsidRDefault="005A68AE">
      <w:pPr>
        <w:rPr>
          <w:rFonts w:hint="eastAsia"/>
          <w:sz w:val="24"/>
          <w:szCs w:val="24"/>
        </w:rPr>
      </w:pP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38"/>
        <w:gridCol w:w="2880"/>
        <w:gridCol w:w="1291"/>
        <w:gridCol w:w="2273"/>
      </w:tblGrid>
      <w:tr w:rsidR="00000000" w14:paraId="5ABE4B10" w14:textId="77777777">
        <w:trPr>
          <w:jc w:val="center"/>
        </w:trPr>
        <w:tc>
          <w:tcPr>
            <w:tcW w:w="1738" w:type="dxa"/>
          </w:tcPr>
          <w:p w14:paraId="7FD34A13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程晓洋（SA）</w:t>
            </w:r>
          </w:p>
        </w:tc>
        <w:tc>
          <w:tcPr>
            <w:tcW w:w="1291" w:type="dxa"/>
          </w:tcPr>
          <w:p w14:paraId="591FDD1C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  <w:tr w:rsidR="00000000" w14:paraId="3A4BFF48" w14:textId="77777777">
        <w:trPr>
          <w:jc w:val="center"/>
        </w:trPr>
        <w:tc>
          <w:tcPr>
            <w:tcW w:w="1738" w:type="dxa"/>
          </w:tcPr>
          <w:p w14:paraId="51528DB6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程子浩、丁梓钊</w:t>
            </w:r>
          </w:p>
        </w:tc>
        <w:tc>
          <w:tcPr>
            <w:tcW w:w="1291" w:type="dxa"/>
          </w:tcPr>
          <w:p w14:paraId="6DFD6D04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  <w:tr w:rsidR="00000000" w14:paraId="6C0022C1" w14:textId="77777777">
        <w:trPr>
          <w:jc w:val="center"/>
        </w:trPr>
        <w:tc>
          <w:tcPr>
            <w:tcW w:w="1738" w:type="dxa"/>
          </w:tcPr>
          <w:p w14:paraId="108D41AE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第19组</w:t>
            </w:r>
          </w:p>
        </w:tc>
        <w:tc>
          <w:tcPr>
            <w:tcW w:w="1291" w:type="dxa"/>
          </w:tcPr>
          <w:p w14:paraId="7FE52FD9" w14:textId="77777777" w:rsidR="005A68AE" w:rsidRDefault="005A68AE">
            <w:pPr>
              <w:pStyle w:val="ae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2026.06.05</w:t>
            </w:r>
          </w:p>
        </w:tc>
      </w:tr>
    </w:tbl>
    <w:p w14:paraId="5C424497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754E4612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56E30BFC" w14:textId="77777777" w:rsidR="005A68AE" w:rsidRDefault="005A68AE">
      <w:pPr>
        <w:spacing w:line="240" w:lineRule="atLeast"/>
        <w:jc w:val="center"/>
        <w:rPr>
          <w:rFonts w:ascii="宋体" w:hAnsi="宋体" w:hint="eastAsia"/>
          <w:b/>
          <w:sz w:val="28"/>
          <w:szCs w:val="28"/>
        </w:rPr>
      </w:pPr>
    </w:p>
    <w:p w14:paraId="5F4FAEAB" w14:textId="77777777" w:rsidR="005A68AE" w:rsidRDefault="005A68A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 xml:space="preserve">  </w:t>
      </w:r>
    </w:p>
    <w:p w14:paraId="0EECB416" w14:textId="77777777" w:rsidR="005A68AE" w:rsidRDefault="005A68AE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武汉</w:t>
      </w:r>
      <w:r>
        <w:rPr>
          <w:rFonts w:ascii="宋体" w:hAnsi="宋体" w:hint="eastAsia"/>
          <w:b/>
          <w:sz w:val="28"/>
          <w:szCs w:val="28"/>
        </w:rPr>
        <w:t>学链</w:t>
      </w:r>
      <w:r>
        <w:rPr>
          <w:rFonts w:ascii="宋体" w:hAnsi="宋体" w:hint="eastAsia"/>
          <w:b/>
          <w:sz w:val="28"/>
          <w:szCs w:val="28"/>
        </w:rPr>
        <w:t>科技有限公司</w:t>
      </w:r>
    </w:p>
    <w:p w14:paraId="29C55AEE" w14:textId="77777777" w:rsidR="005A68AE" w:rsidRDefault="005A68AE">
      <w:pPr>
        <w:widowControl/>
        <w:spacing w:line="360" w:lineRule="auto"/>
        <w:jc w:val="center"/>
        <w:rPr>
          <w:rFonts w:ascii="华文细黑" w:eastAsia="华文细黑" w:hAnsi="华文细黑"/>
          <w:sz w:val="24"/>
          <w:szCs w:val="24"/>
        </w:rPr>
      </w:pPr>
      <w:r>
        <w:rPr>
          <w:rFonts w:ascii="华文细黑" w:eastAsia="华文细黑" w:hAnsi="华文细黑"/>
          <w:sz w:val="24"/>
          <w:szCs w:val="24"/>
        </w:rPr>
        <w:t>版权所有</w:t>
      </w:r>
      <w:r>
        <w:rPr>
          <w:rFonts w:ascii="华文细黑" w:eastAsia="华文细黑" w:hAnsi="华文细黑"/>
          <w:sz w:val="24"/>
          <w:szCs w:val="24"/>
        </w:rPr>
        <w:t xml:space="preserve">  </w:t>
      </w:r>
      <w:r>
        <w:rPr>
          <w:rFonts w:ascii="华文细黑" w:eastAsia="华文细黑" w:hAnsi="华文细黑"/>
          <w:sz w:val="24"/>
          <w:szCs w:val="24"/>
        </w:rPr>
        <w:t>不得复制</w:t>
      </w:r>
    </w:p>
    <w:p w14:paraId="133E1303" w14:textId="77777777" w:rsidR="005A68AE" w:rsidRDefault="005A68AE">
      <w:pPr>
        <w:sectPr w:rsidR="00000000">
          <w:headerReference w:type="default" r:id="rId6"/>
          <w:footerReference w:type="default" r:id="rId7"/>
          <w:headerReference w:type="first" r:id="rId8"/>
          <w:footerReference w:type="first" r:id="rId9"/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4F6C168E" w14:textId="77777777" w:rsidR="005A68AE" w:rsidRDefault="005A68AE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lastRenderedPageBreak/>
        <w:t>Revision Record</w:t>
      </w:r>
    </w:p>
    <w:p w14:paraId="00AA35D5" w14:textId="77777777" w:rsidR="005A68AE" w:rsidRDefault="005A68AE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修订记录</w:t>
      </w:r>
    </w:p>
    <w:p w14:paraId="1CDFE39B" w14:textId="77777777" w:rsidR="005A68AE" w:rsidRDefault="005A68AE">
      <w:pPr>
        <w:jc w:val="center"/>
        <w:rPr>
          <w:rFonts w:hint="eastAsia"/>
          <w:sz w:val="21"/>
          <w:szCs w:val="21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925"/>
        <w:gridCol w:w="1260"/>
        <w:gridCol w:w="1620"/>
        <w:gridCol w:w="1620"/>
        <w:gridCol w:w="1620"/>
        <w:gridCol w:w="1317"/>
      </w:tblGrid>
      <w:tr w:rsidR="00000000" w14:paraId="160D1E2B" w14:textId="77777777">
        <w:trPr>
          <w:cantSplit/>
          <w:trHeight w:val="1334"/>
          <w:tblHeader/>
          <w:jc w:val="center"/>
        </w:trPr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Date / 日期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Revision Version / 修订版本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CR ID /Defect ID / CR/ Defect号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Sec No. / 修改章节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Change Description / 修改描述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Author / 作者</w:t>
            </w:r>
          </w:p>
        </w:tc>
      </w:tr>
      <w:tr>
        <w:tc>
          <w:tcPr>
            <w:tcW w:type="dxa" w:w="92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2026.06.03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V0.1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1-2</w:t>
            </w:r>
          </w:p>
        </w:tc>
        <w:tc>
          <w:tcPr>
            <w:tcW w:type="dxa" w:w="16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根据SRS V1.0完成HLD简介、系统上下文和系统结构设计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程晓洋（SA）</w:t>
            </w:r>
          </w:p>
        </w:tc>
      </w:tr>
      <w:tr>
        <w:tc>
          <w:tcPr>
            <w:tcW w:type="dxa" w:w="92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2026.06.03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V0.2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N/A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2.2</w:t>
            </w:r>
          </w:p>
        </w:tc>
        <w:tc>
          <w:tcPr>
            <w:tcW w:type="dxa" w:w="16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补充系统架构图、业务流程活动图和模块分解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全员</w:t>
            </w:r>
          </w:p>
        </w:tc>
      </w:tr>
      <w:tr>
        <w:tc>
          <w:tcPr>
            <w:tcW w:type="dxa" w:w="92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2026.06.04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V0.3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DR-01~DR-06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2-4</w:t>
            </w:r>
          </w:p>
        </w:tc>
        <w:tc>
          <w:tcPr>
            <w:tcW w:type="dxa" w:w="16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补充核心业务时序图、接口定义、ER图、表结构和核心界面说明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程晓洋（SA）</w:t>
            </w:r>
          </w:p>
        </w:tc>
      </w:tr>
      <w:tr>
        <w:tc>
          <w:tcPr>
            <w:tcW w:type="dxa" w:w="92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2026.06.05</w:t>
            </w:r>
          </w:p>
        </w:tc>
        <w:tc>
          <w:tcPr>
            <w:tcW w:type="dxa" w:w="126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DR-07~DR-10</w:t>
            </w:r>
          </w:p>
        </w:tc>
        <w:tc>
          <w:tcPr>
            <w:tcW w:type="dxa" w:w="16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5/全部</w:t>
            </w:r>
          </w:p>
        </w:tc>
        <w:tc>
          <w:tcPr>
            <w:tcW w:type="dxa" w:w="16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补充出错处理设计，完成全员设计评审并形成正式提交版</w:t>
            </w:r>
          </w:p>
        </w:tc>
        <w:tc>
          <w:tcPr>
            <w:tcW w:type="dxa" w:w="13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第19组</w:t>
            </w:r>
          </w:p>
        </w:tc>
      </w:tr>
    </w:tbl>
    <w:p w14:paraId="4024FA4C" w14:textId="77777777" w:rsidR="005A68AE" w:rsidRDefault="005A68AE">
      <w:pPr>
        <w:rPr>
          <w:b/>
          <w:sz w:val="21"/>
          <w:szCs w:val="21"/>
        </w:rPr>
        <w:sectPr w:rsidR="00000000">
          <w:pgSz w:w="11906" w:h="16838"/>
          <w:pgMar w:top="1440" w:right="1287" w:bottom="1440" w:left="1622" w:header="851" w:footer="992" w:gutter="0"/>
          <w:cols w:space="720"/>
          <w:titlePg/>
          <w:docGrid w:type="lines" w:linePitch="312"/>
        </w:sectPr>
      </w:pPr>
    </w:p>
    <w:p w14:paraId="65A30029" w14:textId="77777777" w:rsidR="005A68AE" w:rsidRDefault="005A68AE">
      <w:pPr>
        <w:jc w:val="center"/>
        <w:rPr>
          <w:rFonts w:hint="eastAsia"/>
          <w:b/>
          <w:sz w:val="32"/>
          <w:szCs w:val="32"/>
        </w:rPr>
      </w:pPr>
      <w:r>
        <w:rPr>
          <w:rFonts w:ascii="Times New Roman" w:hAnsi="Times New Roman" w:eastAsia="黑体"/>
          <w:b/>
          <w:sz w:val="21"/>
        </w:rPr>
        <w:t>目    录</w:t>
      </w:r>
    </w:p>
    <w:p w14:paraId="394A1AD5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Times New Roman" w:hAnsi="Times New Roman" w:eastAsia="宋体"/>
          <w:b w:val="0"/>
          <w:sz w:val="21"/>
        </w:rPr>
        <w:t>1 简介</w:t>
      </w:r>
    </w:p>
    <w:p w14:paraId="6AF43378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1.1 目的</w:t>
      </w:r>
    </w:p>
    <w:p w14:paraId="3567777C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1.2 范围</w:t>
      </w:r>
    </w:p>
    <w:p w14:paraId="5D5F914F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1.2.1 软件名称</w:t>
      </w:r>
    </w:p>
    <w:p w14:paraId="3656658E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1.2.2 软件功能</w:t>
      </w:r>
    </w:p>
    <w:p w14:paraId="2B82DAF8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1.2.3 软件应用</w:t>
      </w:r>
    </w:p>
    <w:p w14:paraId="56172286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1.3 参考资料</w:t>
      </w:r>
    </w:p>
    <w:p w14:paraId="509464FE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Times New Roman" w:hAnsi="Times New Roman" w:eastAsia="宋体"/>
          <w:b w:val="0"/>
          <w:sz w:val="21"/>
        </w:rPr>
        <w:t>2 概要设计</w:t>
      </w:r>
    </w:p>
    <w:p w14:paraId="67F336D8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2.1 第0层设计描述</w:t>
      </w:r>
    </w:p>
    <w:p w14:paraId="788BDCC0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2.1.1 软件系统上下文定义</w:t>
      </w:r>
    </w:p>
    <w:p w14:paraId="28A09B40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2.1.2 设计思路</w:t>
      </w:r>
    </w:p>
    <w:p w14:paraId="3470B680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2.2 第1层设计描述</w:t>
      </w:r>
    </w:p>
    <w:p w14:paraId="63161494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2.2.1 系统结构</w:t>
      </w:r>
    </w:p>
    <w:p w14:paraId="612067ED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2.2.1.1 系统结构描述</w:t>
      </w:r>
    </w:p>
    <w:p w14:paraId="333FDA19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2.2.1.2 业务流程说明</w:t>
      </w:r>
    </w:p>
    <w:p w14:paraId="339EB33F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2.2.2 分解描述</w:t>
      </w:r>
    </w:p>
    <w:p w14:paraId="6A4F3A45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2.2.3 接口描述</w:t>
      </w:r>
    </w:p>
    <w:p w14:paraId="7C7B66B8" w14:textId="77777777" w:rsidR="005A68AE" w:rsidRDefault="005A68AE">
      <w:pPr>
        <w:pStyle w:val="TOC5"/>
        <w:tabs>
          <w:tab w:val="right" w:leader="dot" w:pos="8306"/>
        </w:tabs>
        <w:ind w:left="1600"/>
      </w:pPr>
      <w:r>
        <w:rPr>
          <w:rFonts w:ascii="Times New Roman" w:hAnsi="Times New Roman" w:eastAsia="宋体"/>
          <w:b w:val="0"/>
          <w:sz w:val="21"/>
        </w:rPr>
        <w:t>3 数据结构/数据库设计</w:t>
      </w:r>
    </w:p>
    <w:p w14:paraId="25209223" w14:textId="77777777" w:rsidR="005A68AE" w:rsidRDefault="005A68AE">
      <w:pPr>
        <w:pStyle w:val="TOC5"/>
        <w:tabs>
          <w:tab w:val="right" w:leader="dot" w:pos="8306"/>
        </w:tabs>
        <w:ind w:left="1600"/>
      </w:pPr>
      <w:r>
        <w:rPr>
          <w:rFonts w:ascii="Times New Roman" w:hAnsi="Times New Roman" w:eastAsia="宋体"/>
          <w:b w:val="0"/>
          <w:sz w:val="21"/>
        </w:rPr>
        <w:t>3.1 概念模型</w:t>
      </w:r>
    </w:p>
    <w:p w14:paraId="6D9314C4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3.2 数据库表设计</w:t>
      </w:r>
    </w:p>
    <w:p w14:paraId="3E908B0E" w14:textId="77777777" w:rsidR="005A68AE" w:rsidRDefault="005A68AE">
      <w:pPr>
        <w:pStyle w:val="TOC3"/>
        <w:tabs>
          <w:tab w:val="right" w:leader="dot" w:pos="8306"/>
        </w:tabs>
        <w:ind w:left="800"/>
      </w:pPr>
      <w:r>
        <w:rPr>
          <w:rFonts w:ascii="Times New Roman" w:hAnsi="Times New Roman" w:eastAsia="宋体"/>
          <w:b w:val="0"/>
          <w:sz w:val="21"/>
        </w:rPr>
        <w:t>3.3 存储过程设计</w:t>
      </w:r>
    </w:p>
    <w:p w14:paraId="4A3368A2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3.4 视图设计</w:t>
      </w:r>
    </w:p>
    <w:p w14:paraId="3141F2CF" w14:textId="77777777" w:rsidR="005A68AE" w:rsidRDefault="005A68AE">
      <w:pPr>
        <w:pStyle w:val="TOC4"/>
        <w:tabs>
          <w:tab w:val="right" w:leader="dot" w:pos="8306"/>
        </w:tabs>
        <w:ind w:left="1200"/>
      </w:pPr>
      <w:r>
        <w:rPr>
          <w:rFonts w:ascii="Times New Roman" w:hAnsi="Times New Roman" w:eastAsia="宋体"/>
          <w:b w:val="0"/>
          <w:sz w:val="21"/>
        </w:rPr>
        <w:t>3.5 触发器设计</w:t>
      </w:r>
    </w:p>
    <w:p w14:paraId="4A0CAE83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Times New Roman" w:hAnsi="Times New Roman" w:eastAsia="宋体"/>
          <w:b w:val="0"/>
          <w:sz w:val="21"/>
        </w:rPr>
        <w:t>3.6 函数设计</w:t>
      </w:r>
    </w:p>
    <w:p w14:paraId="638FC416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3.7 基础数据配置</w:t>
      </w:r>
    </w:p>
    <w:p w14:paraId="1D625A6F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4 界面设计</w:t>
      </w:r>
    </w:p>
    <w:p w14:paraId="61341104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4.1 车主端核心界面</w:t>
      </w:r>
    </w:p>
    <w:p w14:paraId="257DA53D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4.2 管理端核心界面</w:t>
      </w:r>
    </w:p>
    <w:p w14:paraId="6038E661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4.3 监管端核心界面</w:t>
      </w:r>
    </w:p>
    <w:p w14:paraId="01EB138C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5 出错处理设计</w:t>
      </w:r>
    </w:p>
    <w:p w14:paraId="3259A273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5.1 出错处理目标</w:t>
      </w:r>
    </w:p>
    <w:p w14:paraId="33B9DF49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Times New Roman" w:hAnsi="Times New Roman" w:eastAsia="宋体"/>
          <w:b w:val="0"/>
          <w:sz w:val="21"/>
        </w:rPr>
        <w:t>5.2 错误分类与处理策略</w:t>
      </w:r>
    </w:p>
    <w:p w14:paraId="7CB7C543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5.3 统一错误码</w:t>
      </w:r>
    </w:p>
    <w:p w14:paraId="3117A210" w14:textId="77777777" w:rsidR="005A68AE" w:rsidRDefault="005A68AE">
      <w:pPr>
        <w:pStyle w:val="TOC2"/>
        <w:tabs>
          <w:tab w:val="right" w:leader="dot" w:pos="8306"/>
        </w:tabs>
        <w:ind w:left="400"/>
      </w:pPr>
      <w:r>
        <w:rPr>
          <w:rFonts w:ascii="Times New Roman" w:hAnsi="Times New Roman" w:eastAsia="宋体"/>
          <w:b w:val="0"/>
          <w:sz w:val="21"/>
        </w:rPr>
        <w:t>5.4 关键业务异常流程</w:t>
      </w:r>
    </w:p>
    <w:p w14:paraId="72B10A10" w14:textId="77777777" w:rsidR="005A68AE" w:rsidRDefault="005A68AE">
      <w:pPr>
        <w:pStyle w:val="TOC1"/>
        <w:tabs>
          <w:tab w:val="right" w:leader="dot" w:pos="8306"/>
        </w:tabs>
      </w:pPr>
      <w:r>
        <w:rPr>
          <w:rFonts w:ascii="Times New Roman" w:hAnsi="Times New Roman" w:eastAsia="宋体"/>
          <w:b w:val="0"/>
          <w:sz w:val="21"/>
        </w:rPr>
        <w:t>5.5 日志、告警与恢复</w:t>
      </w:r>
    </w:p>
    <w:p w14:paraId="0CDC083E" w14:textId="77777777" w:rsidR="005A68AE" w:rsidRDefault="005A68AE">
      <w:pPr>
        <w:rPr>
          <w:rFonts w:hint="eastAsia"/>
          <w:b/>
          <w:sz w:val="21"/>
          <w:szCs w:val="21"/>
        </w:rPr>
      </w:pPr>
      <w:r>
        <w:rPr>
          <w:rFonts w:ascii="Times New Roman" w:hAnsi="Times New Roman" w:eastAsia="宋体"/>
          <w:b w:val="0"/>
          <w:sz w:val="21"/>
        </w:rPr>
        <w:t>5.6 设计评审与发布结论</w:t>
      </w:r>
    </w:p>
    <w:p w14:paraId="7034F2E2" w14:textId="77777777" w:rsidR="005A68AE" w:rsidRDefault="005A68AE">
      <w:pPr>
        <w:rPr>
          <w:rFonts w:hint="eastAsia"/>
          <w:b/>
          <w:sz w:val="21"/>
          <w:szCs w:val="21"/>
        </w:rPr>
        <w:sectPr w:rsidR="0000000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Times New Roman" w:hAnsi="Times New Roman" w:eastAsia="宋体"/>
          <w:b w:val="0"/>
          <w:sz w:val="21"/>
        </w:rPr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Keywords 关键词：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智慧停车；概要设计；系统上下文；模块分解；时序图；接口设计；数据库设计；界面设计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Abstract 摘    要：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本文档按照《概要设计说明书》模板编写，基于《功能需求规格说明书 SRS V1.0》对AI-driven城市智慧停车管理与诱导系统进行高层设计。文档覆盖系统上下文、架构设计、业务流程、模块分解、接口、数据库结构、核心界面和出错处理，为后续编码实现与测试提供依据。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List of abbreviations 缩略语清单：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缩略语见前置表格。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1 简介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1.1 目的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本文档描述AI-driven城市智慧停车管理与诱导系统的概要设计，明确系统边界、总体架构、模块拆分、核心业务流程、接口和数据结构。预期读者包括项目成员、系统架构师、开发人员、测试人员和课程评审人员。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1.2 范围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1.2.1 软件名称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AI-driven城市智慧停车管理与诱导系统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1.2.2 软件功能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系统覆盖SRS中的18个一级业务模块。P0模块形成车主停车闭环与运营管理闭环，P1模块增强监管、分析、诱导和共享能力，P2模块通过模拟数据与预留接口表达充电、违停、月卡、设备运维和联合营销等扩展场景。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1.2.3 软件应用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软件应用于城市停车资源查询、车位预约、停车场运营、违停监管、设备运维和商圈营销等教学实训场景。实训环境下不依赖真实AI模型、GIS地图、支付通道和硬件设备，而是通过模拟接口、状态字段、初始数据和可视化页面完成业务闭环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1.3 参考资料</w:t>
      </w:r>
    </w:p>
    <w:p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《功能需求规格说明书 SRS V1.0》</w:t>
      </w:r>
    </w:p>
    <w:p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《软件开发计划 V1.0》</w:t>
      </w:r>
    </w:p>
    <w:p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《项目立项报告 V1.0》</w:t>
      </w:r>
    </w:p>
    <w:p>
      <w:pPr>
        <w:ind w:left="346" w:hanging="173"/>
      </w:pPr>
      <w:r>
        <w:rPr>
          <w:rFonts w:ascii="Times New Roman" w:hAnsi="Times New Roman" w:eastAsia="宋体"/>
          <w:b w:val="0"/>
          <w:sz w:val="21"/>
        </w:rPr>
        <w:t>• 教师发布的第三周项目任务作业与每日任务截图（2026.06.01-2026.06.05）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2 概要设计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2.1 第0层设计描述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2.1.1 软件系统上下文定义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系统外部实体包括车主、停车场管理员、交管监管人员和外部模拟能力。车主通过车主端完成查询、预约、支付和寻车；管理员通过管理端维护车场、车位、订单、设备、价格和营销；监管人员查看汇总态势、违停和政策评估；AI识别、GIS、支付、道闸、诱导屏和充电桩在实训阶段以模拟服务接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图2-1 软件系统上下文图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2.1.2 设计思路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系统采用前后端分离B/S结构。前端使用Vue3、Element Plus、Vite、ECharts组织车主端、管理端和监管端页面；后端使用FastAPI提供RESTful JSON接口；数据库使用SQLite和SQLAlchemy ORM；外部能力采用适配器模式预留服务接口，当前实现使用模拟数据和状态面板。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设计原则包括：模块边界对应SRS的18个一级业务模块；注册登录、基础CRUD、订单和统计图表作为支撑能力归入相关模块；核心闭环优先实现；高风险外部依赖采用可替换模拟服务。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2.2 第1层设计描述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2.2.1 系统结构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2.2.1.1 系统结构描述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图2-2 系统结构图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层次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组成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表现层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车主端、管理端、监管端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提供搜索、预约、支付、运营、监管等页面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FastAPI Router、Session中间件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统一鉴权、参数校验、错误码和JSON响应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业务服务层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预约、订单、分析、定价、运维等服务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承载状态机、计费规则、统计聚合和模拟服务编排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数据访问层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SQLAlchemy ORM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封装模型、事务、查询和数据一致性约束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SQLite、初始化数据、日志表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保存业务状态、配置、订单和审计数据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2.2.1.2 业务流程说明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核心业务流程以车主停车闭环为主线：查询停车资源、预约锁定车位、导航入场、车牌识别生成订单、停车期间支持寻车、出场计费、模拟支付、释放车位并沉淀运营统计。管理端与监管端围绕该闭环读取和维护车场、订单、设备、违停、价格和分析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图2-3 车主停车闭环活动图</w:t>
      </w:r>
    </w:p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2.2.2 分解描述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系统模块分解严格对应需求规格说明书中的18个一级业务模块，按P0/P1/P2安排实现优先级。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模块ID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模块名称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功能摘要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主要数据对象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路内停车位视觉检测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模拟识别车位占用、违停和车牌，提供人工复核。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roadside_detections, violations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M2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停车场数据联网接入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接入路外停车场空位、价格和运营状态。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parking_lots, sync_logs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M3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城市停车一张图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汇总路内外停车资源，支持地图/列表查询和筛选。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parking_lots, parking_spots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M4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停车诱导信息发布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按空位与拥堵状态生成并发布诱导屏内容。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guide_screens, publish_logs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M5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智能导航与车位预约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推荐停车方案，锁定车位并管理预约状态。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reservations, parking_spots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车牌识别与无感支付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模拟车牌入出场、自动计费和无感支付。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vehicles, parking_orders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M7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停车行为大数据分析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统计周转率、饱和度、停留时长和收入趋势。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parking_orders, analytics_snapshots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M8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动态定价策略引擎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按时段、热度和利用率计算价格系数。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pricing_rules, pricing_logs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M9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共享停车管理平台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支持共享车位发布、预约和收益统计。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shared_spots, reservations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M10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充电车位智能管理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管理充电车位、充电桩状态和异常占用。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charging_piles, parking_spots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M11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违停自动抓拍与取证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模拟违停抓拍、证据归档和审核处理。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violations, review_logs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M12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长期停车月卡管理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支持月卡申请、审批、续费和到期提醒。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monthly_cards, vehicles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M13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车场运营管理后台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承载车场、车位、订单、设备、价格和统计管理。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parking_lots, parking_orders, devices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M14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车主移动端APP/小程序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承载搜索、预约、支付、记录、寻车和优惠入口。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users, vehicles, reservations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M15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反向寻车导航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按车牌/订单定位车辆，生成楼层和路线指引。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parking_orders, parking_spots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M16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设备运维管理平台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管理摄像头、道闸、诱导屏、充电桩和告警。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devices, maintenance_logs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M17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城市停车监管平台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展示城市停车态势、违停、收费和政策评估。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analytics_snapshots, violations</w:t>
            </w:r>
          </w:p>
        </w:tc>
      </w:tr>
      <w:tr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M18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商圈停车联合营销</w:t>
            </w:r>
          </w:p>
        </w:tc>
        <w:tc>
          <w:tcPr>
            <w:tcW w:type="dxa" w:w="166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配置优惠活动、停车券核销和效果统计。</w:t>
            </w:r>
          </w:p>
        </w:tc>
        <w:tc>
          <w:tcPr>
            <w:tcW w:type="dxa" w:w="166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marketing_campaigns, coupons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2.2.2.1 P0核心闭环模块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P0模块包括M2、M3、M5、M6、M13、M14，负责停车场数据接入、一张图查询、预约、车牌识别计费、运营后台和车主移动端，是课程演示必须稳定闭合的主路径。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2.2.2.1.1 智能导航与车位预约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类设计：ReservationService负责预约创建、取消、确认和过期释放；SpotService负责车位状态校验与锁定；LotService负责车场查询和推荐；Reservation模型保存预约状态、锁定到期时间和关联车位。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功能实现说明：车主端提交预约请求后，接口层校验登录态与参数，预约服务检查车位可用性，写入reservations并将parking_spots.status置为locked。超时任务扫描expire_at释放未确认预约。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图2-4 预约与无感支付核心时序图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2.2.2.1.2 车牌识别与无感支付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类设计：PlateRecognitionAdapter模拟车牌识别结果；OrderService负责订单生成、计费和状态更新；PaymentAdapter模拟扣款；ParkingOrder模型记录入场、出场、金额和支付状态。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功能实现说明：车辆入场时系统根据车牌与预约状态生成订单；出场时按费率、免费时长和动态定价规则计算金额；模拟支付成功后订单完成并释放车位。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2.2.2.2 P1/P2增强与扩展模块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P1模块重点服务监管、分析和运营提效，P2模块采用模拟数据、状态字段和预留接口完成扩展表达。所有模块都通过统一API、统一错误码和统一数据字典与核心闭环联动。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 18个一级模块详细展开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本节按照教师任务图要求，对18个一级业务模块逐一展开设计。每个模块均说明使用角色、页面入口、后端服务、接口、数据对象、主流程、状态流转、异常处理和验收关注点，保证后续编码时能直接从模块设计追踪到接口、数据表和测试用例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 M1 路内停车位视觉检测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M1属于P1优先级模块。模块目标是：模拟识别车位占用、违停和车牌，提供人工复核。该模块与数据对象 roadside_detections, violations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监管人员、停车场管理员是该模块的主要使用者；前端通过路内泊位检测面板、检测结果列表、人工复核弹窗、违停证据详情页承载业务操作；后端由RoadsideDetectionService负责接收模拟识别结果，ViolationService负责违停记录归档和复核状态流转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系统按摄像头或模拟数据源生成泊位识别结果，低置信度记录进入人工复核；复核通过后同步更新车位状态或生成违停记录。状态口径为detected、low_confidence、review_pending、confirmed、reject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停车监管人员、停车场管理员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路内泊位检测面板、检测结果列表、人工复核弹窗、违停证据详情页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RoadsideDetectionService负责接收模拟识别结果，ViolationService负责违停记录归档和复核状态流转。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/api/roadside/detections, GET /api/roadside/detections, PUT /api/violations/{id}/review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roadside_detections保存泊位编号、识别状态、置信度、识别时间；violations保存车牌、位置、证据、复核状态。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系统按摄像头或模拟数据源生成泊位识别结果，低置信度记录进入人工复核；复核通过后同步更新车位状态或生成违停记录。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detected、low_confidence、review_pending、confirmed、rejected。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识别结果缺少车牌或置信度过低时不直接改变车位状态，而是进入review_pending并提示管理员复核。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路内停车位视觉检测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数据一致性：M1涉及的数据对象为roadside_detections, violation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识别结果缺少车牌或置信度过低时不直接改变车位状态，而是进入review_pending并提示管理员复核。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识别结果缺少车牌或置信度过低时不直接改变车位状态，而是进入review_pending并提示管理员复核。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2.2.2.3.2 M2 停车场数据联网接入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M2属于P0优先级模块。模块目标是：接入路外停车场空位、价格和运营状态。该模块与数据对象 parking_lots, sync_logs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场管理员、系统管理员是该模块的主要使用者；前端通过停车场接入配置页、同步状态面板、离线告警列表、接入日志详情承载业务操作；后端由LotSyncService负责标准化接入、字段校验、空位数同步和离线告警；LotService负责车场基础信息维护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管理员配置车场和模拟接入参数后，系统周期性同步空位、价格和营业状态；同步失败时保留最近一次有效数据。状态口径为active、inactive、syncing、sync_failed、offline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停车场管理员、系统管理员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停车场接入配置页、同步状态面板、离线告警列表、接入日志详情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LotSyncService负责标准化接入、字段校验、空位数同步和离线告警；LotService负责车场基础信息维护。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/api/lots, PUT /api/lots/{id}, POST /api/lots/{id}/sync, GET /api/lots/{id}/sync-logs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parking_lots保存车场基础数据，parking_spots保存车位状态，sync_logs保存同步时间、结果和异常原因。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管理员配置车场和模拟接入参数后，系统周期性同步空位、价格和营业状态；同步失败时保留最近一次有效数据。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active、inactive、syncing、sync_failed、offline。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接口超时、字段缺失或空位数异常跳变时生成接入告警，页面标注最后更新时间。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2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停车场数据联网接入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2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数据一致性：M2涉及的数据对象为parking_lots, sync_log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M2页面根据角色显示不同按钮，禁止无权限操作直接出现在可提交状态。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接口超时、字段缺失或空位数异常跳变时生成接入告警，页面标注最后更新时间。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TC-M2-01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TC-M2-02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TC-M2-03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TC-M2-04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TC-M2-05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接口超时、字段缺失或空位数异常跳变时生成接入告警，页面标注最后更新时间。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2.2.2.3.3 M3 城市停车一张图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M3属于P0优先级模块。模块目标是：汇总路内外停车资源，支持地图/列表查询和筛选。该模块与数据对象 parking_lots, parking_spots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、监管人员是该模块的主要使用者；前端通过城市停车一张图、车场列表、筛选面板、车场详情、空位热度面板承载业务操作；后端由LotQueryService负责区域筛选、距离排序、价格排序和空位热度计算；MapAdapter在实训阶段使用模拟坐标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输入目的地后，系统按区域、距离、价格、空位数和更新时间聚合车场结果，并支持进入详情查看车位状态。状态口径为normal、few_spots、full、closed、data_stale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车主、监管人员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城市停车一张图、车场列表、筛选面板、车场详情、空位热度面板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LotQueryService负责区域筛选、距离排序、价格排序和空位热度计算；MapAdapter在实训阶段使用模拟坐标。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/api/lots/search, GET /api/lots/nearby, GET /api/lots/{id}/spots, GET /api/lots/hotspots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parking_lots提供车场位置、价格和营业状态；parking_spots提供空闲、锁定、占用和不可用数量。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车主输入目的地后，系统按区域、距离、价格、空位数和更新时间聚合车场结果，并支持进入详情查看车位状态。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normal、few_spots、full、closed、data_stale。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查询无结果时展示附近区域推荐；模拟地图不可用时切换列表模式并保留筛选能力。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3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城市停车一张图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3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数据一致性：M3涉及的数据对象为parking_lots, parking_spot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M3页面根据角色显示不同按钮，禁止无权限操作直接出现在可提交状态。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查询无结果时展示附近区域推荐；模拟地图不可用时切换列表模式并保留筛选能力。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TC-M3-01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TC-M3-02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TC-M3-03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TC-M3-04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TC-M3-05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查询无结果时展示附近区域推荐；模拟地图不可用时切换列表模式并保留筛选能力。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2.2.2.3.4 M4 停车诱导信息发布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M4属于P1优先级模块。模块目标是：按空位与拥堵状态生成并发布诱导屏内容。该模块与数据对象 guide_screens, publish_logs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场管理员、诱导屏运维人员是该模块的主要使用者；前端通过诱导屏管理页、发布内容编辑页、发布记录页、设备状态列表承载业务操作；后端由GuidePublishService负责根据车场空位、拥堵和设备在线状态生成诱导内容，并记录发布日志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系统根据空位阈值生成诱导文案，管理员确认后模拟发布到诱导屏；发布成功后更新屏幕当前内容。状态口径为draft、publishing、published、failed、offline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停车场管理员、诱导屏运维人员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诱导屏管理页、发布内容编辑页、发布记录页、设备状态列表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GuidePublishService负责根据车场空位、拥堵和设备在线状态生成诱导内容，并记录发布日志。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/api/guide-screens, POST /api/guide-screens/publish, GET /api/guide-screens/publish-logs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guide_screens保存屏幕位置和关联车场，publish_logs保存内容、发布时间、结果和失败原因。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系统根据空位阈值生成诱导文案，管理员确认后模拟发布到诱导屏；发布成功后更新屏幕当前内容。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draft、publishing、published、failed、offline。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诱导屏离线时不覆盖上一条有效内容，发布日志记录失败原因并进入设备告警。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4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停车诱导信息发布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4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数据一致性：M4涉及的数据对象为guide_screens, publish_log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M4页面根据角色显示不同按钮，禁止无权限操作直接出现在可提交状态。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诱导屏离线时不覆盖上一条有效内容，发布日志记录失败原因并进入设备告警。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TC-M4-01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TC-M4-02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TC-M4-03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TC-M4-04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TC-M4-05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诱导屏离线时不覆盖上一条有效内容，发布日志记录失败原因并进入设备告警。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2.2.2.3.5 M5 智能导航与车位预约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M5属于P0优先级模块。模块目标是：推荐停车方案，锁定车位并管理预约状态。该模块与数据对象 reservations, parking_spots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、停车场管理员是该模块的主要使用者；前端通过推荐车场列表、预约确认页、预约倒计时、到场确认页、预约记录页承载业务操作；后端由ReservationService负责车位锁定、预约确认、取消和超时释放；SpotService负责车位状态一致性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选择车位后创建预约，系统锁定车位15分钟；到场确认后进入停车订单流程，超时或取消则释放车位。状态口径为created、locked、confirmed、cancelled、expir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推荐车场列表、预约确认页、预约倒计时、到场确认页、预约记录页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ReservationService负责车位锁定、预约确认、取消和超时释放；SpotService负责车位状态一致性。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/api/reservations, PUT /api/reservations/{id}/confirm, PUT /api/reservations/{id}/cancel, POST /api/reservations/release-expired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reservations保存预约用户、车位、状态和过期时间；parking_spots保存free/locked/occupied状态。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车主选择车位后创建预约，系统锁定车位15分钟；到场确认后进入停车订单流程，超时或取消则释放车位。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created、locked、confirmed、cancelled、expired。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并发预约导致车位状态变化时返回409，前端刷新车位网格并提示重新选择。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5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智能导航与车位预约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5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数据一致性：M5涉及的数据对象为reservations, parking_spot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M5页面根据角色显示不同按钮，禁止无权限操作直接出现在可提交状态。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并发预约导致车位状态变化时返回409，前端刷新车位网格并提示重新选择。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TC-M5-01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TC-M5-02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TC-M5-03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TC-M5-04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TC-M5-05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并发预约导致车位状态变化时返回409，前端刷新车位网格并提示重新选择。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2.2.2.3.6 M6 车牌识别与无感支付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M6属于P0优先级模块。模块目标是：模拟车牌入出场、自动计费和无感支付。该模块与数据对象 vehicles, parking_orders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、停车场管理员是该模块的主要使用者；前端通过入出场模拟页、订单详情页、支付确认页、异常订单处理页承载业务操作；后端由PlateRecognitionAdapter模拟车牌识别，OrderService生成订单并计费，PaymentAdapter模拟无感支付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辆入场时识别车牌并生成订单，出场时按停车时长、免费时长和价格规则计算费用，支付成功后释放车位。状态口径为parking、pending_pay、paid、failed、manual_release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入出场模拟页、订单详情页、支付确认页、异常订单处理页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PlateRecognitionAdapter模拟车牌识别，OrderService生成订单并计费，PaymentAdapter模拟无感支付。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/api/license-plate/events, GET /api/orders/{id}, POST /api/orders/{id}/checkout, POST /api/payments/mock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vehicles保存车牌与用户关系，parking_orders保存入场、出场、金额和支付状态。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车辆入场时识别车牌并生成订单，出场时按停车时长、免费时长和价格规则计算费用，支付成功后释放车位。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parking、pending_pay、paid、failed、manual_release。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车牌无法识别时生成待人工确认订单；支付失败时订单保持pending_pay并允许重试。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6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车牌识别与无感支付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6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数据一致性：M6涉及的数据对象为vehicles, parking_order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车牌无法识别时生成待人工确认订单；支付失败时订单保持pending_pay并允许重试。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TC-M6-01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TC-M6-02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TC-M6-03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TC-M6-04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TC-M6-05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车牌无法识别时生成待人工确认订单；支付失败时订单保持pending_pay并允许重试。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2.2.2.3.7 M7 停车行为大数据分析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M7属于P1优先级模块。模块目标是：统计周转率、饱和度、停留时长和收入趋势。该模块与数据对象 parking_orders, analytics_snapshots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场管理员、监管人员是该模块的主要使用者；前端通过行为分析图表页、收入趋势页、周转率面板、导出报表页承载业务操作；后端由AnalyticsService负责按时间、车场、区域聚合停车时长、周转率、饱和度和收入趋势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系统从订单、车位和车场数据聚合指标，前端使用ECharts展示趋势、对比和异常峰值。状态口径为calculated、sample_insufficient、stale、exporting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停车场管理员、监管人员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行为分析图表页、收入趋势页、周转率面板、导出报表页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AnalyticsService负责按时间、车场、区域聚合停车时长、周转率、饱和度和收入趋势。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/api/analytics/turnover, GET /api/analytics/revenue, GET /api/analytics/saturation, GET /api/analytics/export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parking_orders提供订单样本，analytics_snapshots保存统计快照和统计口径。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系统从订单、车位和车场数据聚合指标，前端使用ECharts展示趋势、对比和异常峰值。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calculated、sample_insufficient、stale、exporting。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样本不足或异常订单过多时图表标注数据口径，不把取消预约和异常订单混入正常统计。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7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停车行为大数据分析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7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数据一致性：M7涉及的数据对象为parking_orders, analytics_snapshot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M7页面根据角色显示不同按钮，禁止无权限操作直接出现在可提交状态。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样本不足或异常订单过多时图表标注数据口径，不把取消预约和异常订单混入正常统计。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TC-M7-01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TC-M7-02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TC-M7-03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TC-M7-04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TC-M7-05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样本不足或异常订单过多时图表标注数据口径，不把取消预约和异常订单混入正常统计。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2.2.2.3.8 M8 动态定价策略引擎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M8属于P1优先级模块。模块目标是：按时段、热度和利用率计算价格系数。该模块与数据对象 pricing_rules, pricing_logs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场管理员、运营人员是该模块的主要使用者；前端通过动态定价规则页、价格预览页、调价日志页、规则启停页承载业务操作；后端由PricingService负责价格系数计算、规则冲突检查、价格预览和调价记录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管理员配置时段、热度和利用率条件，系统计算价格系数并在订单计费时读取有效规则。状态口径为draft、enabled、disabled、conflict、expir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停车场管理员、运营人员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动态定价规则页、价格预览页、调价日志页、规则启停页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PricingService负责价格系数计算、规则冲突检查、价格预览和调价记录。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/api/pricing-rules, PUT /api/pricing-rules/{id}, POST /api/pricing-rules/evaluate, GET /api/pricing-logs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pricing_rules保存时段、车场、系数和启停状态，pricing_logs保存计算结果和调价原因。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管理员配置时段、热度和利用率条件，系统计算价格系数并在订单计费时读取有效规则。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draft、enabled、disabled、conflict、expired。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规则冲突或超过监管限价时禁止发布，提示冲突规则并保留原价格。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8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动态定价策略引擎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8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数据一致性：M8涉及的数据对象为pricing_rules, pricing_log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M8页面根据角色显示不同按钮，禁止无权限操作直接出现在可提交状态。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规则冲突或超过监管限价时禁止发布，提示冲突规则并保留原价格。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TC-M8-01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TC-M8-02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TC-M8-03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TC-M8-04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TC-M8-05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规则冲突或超过监管限价时禁止发布，提示冲突规则并保留原价格。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2.2.2.3.9 M9 共享停车管理平台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M9属于P1优先级模块。模块目标是：支持共享车位发布、预约和收益统计。该模块与数据对象 shared_spots, reservations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位主、车主、平台管理员是该模块的主要使用者；前端通过共享车位发布页、共享车位列表、共享预约页、收益统计页承载业务操作；后端由SharedSpotService负责共享时段发布、冲突校验、预约生成和收益汇总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位主发布可共享时段，车主查询并预约，系统校验时段冲突并在完成后生成收益记录。状态口径为published、reserved、in_use、closed、cancell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车位主、车主、平台管理员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共享车位发布页、共享车位列表、共享预约页、收益统计页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SharedSpotService负责共享时段发布、冲突校验、预约生成和收益汇总。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/api/shared-spots, GET /api/shared-spots, POST /api/shared-spots/{id}/reservations, GET /api/shared-spots/income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shared_spots保存共享车位、可用时段和价格，reservations保存共享预约关系。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车位主发布可共享时段，车主查询并预约，系统校验时段冲突并在完成后生成收益记录。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published、reserved、in_use、closed、cancelled。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共享时段冲突、车位主取消或用户爽约时更新预约状态，收益只统计完成订单。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9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共享停车管理平台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9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数据一致性：M9涉及的数据对象为shared_spots, reservation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M9页面根据角色显示不同按钮，禁止无权限操作直接出现在可提交状态。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共享时段冲突、车位主取消或用户爽约时更新预约状态，收益只统计完成订单。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TC-M9-01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TC-M9-02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TC-M9-03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TC-M9-04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TC-M9-05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共享时段冲突、车位主取消或用户爽约时更新预约状态，收益只统计完成订单。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2.2.2.3.10 M10 充电车位智能管理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M10属于P2优先级模块。模块目标是：管理充电车位、充电桩状态和异常占用。该模块与数据对象 charging_piles, parking_spots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新能源车主、停车场管理员是该模块的主要使用者；前端通过充电车位列表、充电桩状态页、充电预约页、异常占用告警页承载业务操作；后端由ChargingService负责充电车位状态维护、故障标记、异常占用识别和充电预约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查看充电车位并预约，管理员维护充电桩状态；故障或普通车辆占用时生成告警。状态口径为available、reserved、charging、fault、occupied_abnormal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新能源车主、停车场管理员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充电车位列表、充电桩状态页、充电预约页、异常占用告警页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ChargingService负责充电车位状态维护、故障标记、异常占用识别和充电预约。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/api/charging-spots, POST /api/charging-spots/{id}/reserve, PUT /api/charging-piles/{id}/status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charging_piles保存功率、故障和状态，parking_spots保存车位类型和占用状态。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车主查看充电车位并预约，管理员维护充电桩状态；故障或普通车辆占用时生成告警。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available、reserved、charging、fault、occupied_abnormal。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故障充电桩不可预约，燃油车占用充电车位时进入异常占用告警。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测试用例需覆盖正常流程、异常输入、权限拦截、状态变化、数据库记录和页面提示；该模块优先级为P2，应在第4周编码计划中按优先级拆分。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10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充电车位智能管理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10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数据一致性：M10涉及的数据对象为charging_piles, parking_spot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M10页面根据角色显示不同按钮，禁止无权限操作直接出现在可提交状态。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故障充电桩不可预约，燃油车占用充电车位时进入异常占用告警。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TC-M10-01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TC-M10-02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TC-M10-03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TC-M10-04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TC-M10-05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故障充电桩不可预约，燃油车占用充电车位时进入异常占用告警。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2.2.2.3.11 M11 违停自动抓拍与取证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M11属于P2优先级模块。模块目标是：模拟违停抓拍、证据归档和审核处理。该模块与数据对象 violations, review_logs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监管人员、停车场管理员是该模块的主要使用者；前端通过违停证据列表、证据详情、审核处理页、统计页承载业务操作；后端由ViolationService负责模拟抓拍、证据归档、审核状态流转和监管汇总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系统生成模拟违停证据，管理员或监管人员复核，通过后进入监管统计，驳回则保留记录。状态口径为pending_review、approved、rejected、archiv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监管人员、停车场管理员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违停证据列表、证据详情、审核处理页、统计页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ViolationService负责模拟抓拍、证据归档、审核状态流转和监管汇总。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/api/violations, GET /api/violations, GET /api/violations/{id}, PUT /api/violations/{id}/review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violations保存车牌、位置、证据URL、违停时间和审核状态，review_logs保存复核意见。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系统生成模拟违停证据，管理员或监管人员复核，通过后进入监管统计，驳回则保留记录。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pending_review、approved、rejected、archived。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证据缺失、车牌冲突或位置不明确时不得通过审核，只能进入人工补充。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测试用例需覆盖正常流程、异常输入、权限拦截、状态变化、数据库记录和页面提示；该模块优先级为P2，应在第4周编码计划中按优先级拆分。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11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违停自动抓拍与取证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11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数据一致性：M11涉及的数据对象为violations, review_log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M11页面根据角色显示不同按钮，禁止无权限操作直接出现在可提交状态。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证据缺失、车牌冲突或位置不明确时不得通过审核，只能进入人工补充。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TC-M11-01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TC-M11-02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TC-M11-03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TC-M11-04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TC-M11-05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证据缺失、车牌冲突或位置不明确时不得通过审核，只能进入人工补充。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2.2.2.3.12 M12 长期停车月卡管理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M12属于P2优先级模块。模块目标是：支持月卡申请、审批、续费和到期提醒。该模块与数据对象 monthly_cards, vehicles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、停车场管理员是该模块的主要使用者；前端通过月卡申请页、审批页、续费页、到期提醒页承载业务操作；后端由MonthlyCardService负责申请校验、审批、续费、到期提醒和临停规则切换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提交月卡申请，管理员审批后生效；系统在到期前提醒续费，过期后按临停规则计费。状态口径为applied、approved、rejected、active、expired、renew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月卡申请页、审批页、续费页、到期提醒页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MonthlyCardService负责申请校验、审批、续费、到期提醒和临停规则切换。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/api/monthly-cards, PUT /api/monthly-cards/{id}/approve, POST /api/monthly-cards/{id}/renew, GET /api/monthly-cards/alerts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monthly_cards保存车牌、适用车场、有效期和审批状态，vehicles保存车辆绑定信息。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车主提交月卡申请，管理员审批后生效；系统在到期前提醒续费，过期后按临停规则计费。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applied、approved、rejected、active、expired、renewed。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车牌不一致、适用车场不匹配或月卡过期时不按月卡放行，并提示按临停规则处理。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测试用例需覆盖正常流程、异常输入、权限拦截、状态变化、数据库记录和页面提示；该模块优先级为P2，应在第4周编码计划中按优先级拆分。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12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长期停车月卡管理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12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数据一致性：M12涉及的数据对象为monthly_cards, vehicle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M12页面根据角色显示不同按钮，禁止无权限操作直接出现在可提交状态。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车牌不一致、适用车场不匹配或月卡过期时不按月卡放行，并提示按临停规则处理。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TC-M12-01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TC-M12-02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TC-M12-03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TC-M12-04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TC-M12-05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车牌不一致、适用车场不匹配或月卡过期时不按月卡放行，并提示按临停规则处理。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2.2.2.3.13 M13 车场运营管理后台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M13属于P0优先级模块。模块目标是：承载车场、车位、订单、设备、价格和统计管理。该模块与数据对象 parking_lots, parking_orders, devices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停车场管理员、运营人员是该模块的主要使用者；前端通过运营概览、车场管理、车位管理、订单管理、收入报表、异常处理页承载业务操作；后端由AdminService聚合车场、车位、订单、设备、收入和异常告警，提供管理端统一入口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管理员进入运营概览后可查看关键指标、处理异常、导出报表，并进入各类资源管理页面。状态口径为normal、warning、processing、resolved、export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停车场管理员、运营人员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运营概览、车场管理、车位管理、订单管理、收入报表、异常处理页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AdminService聚合车场、车位、订单、设备、收入和异常告警，提供管理端统一入口。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/api/admin/dashboard, GET /api/admin/lots, GET /api/admin/orders, GET /api/admin/reports, PUT /api/admin/exceptions/{id}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parking_lots、parking_spots、parking_orders、devices和analytics_snapshots共同支撑运营视图。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管理员进入运营概览后可查看关键指标、处理异常、导出报表，并进入各类资源管理页面。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normal、warning、processing、resolved、exported。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删除、调价、关闭车场等敏感操作必须二次确认并写入操作日志。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13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车场运营管理后台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13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数据一致性：M13涉及的数据对象为parking_lots, parking_orders, device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M13页面根据角色显示不同按钮，禁止无权限操作直接出现在可提交状态。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删除、调价、关闭车场等敏感操作必须二次确认并写入操作日志。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TC-M13-01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TC-M13-02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TC-M13-03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TC-M13-04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TC-M13-05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删除、调价、关闭车场等敏感操作必须二次确认并写入操作日志。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2.2.2.3.14 M14 车主移动端APP/小程序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M14属于P0优先级模块。模块目标是：承载搜索、预约、支付、记录、寻车和优惠入口。该模块与数据对象 users, vehicles, reservations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是该模块的主要使用者；前端通过车主首页、搜索页、车场详情、预约页、支付页、停车记录、个人中心承载业务操作；后端由UserPortalService聚合车主端入口，调用车场、预约、订单、寻车和营销服务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从首页进入搜索、预约、支付、寻车和优惠使用，所有关键状态通过卡片和标签明确展示。状态口径为guest、logged_in、has_reservation、parking、pending_pay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车主首页、搜索页、车场详情、预约页、支付页、停车记录、个人中心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UserPortalService聚合车主端入口，调用车场、预约、订单、寻车和营销服务。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/api/user/home, GET /api/user/profile, GET /api/user/records, GET /api/user/coupons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users、vehicles、reservations、parking_orders和coupons共同组成车主端数据视图。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车主从首页进入搜索、预约、支付、寻车和优惠使用，所有关键状态通过卡片和标签明确展示。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guest、logged_in、has_reservation、parking、pending_pay。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登录失效、预约超时、支付失败和数据延迟均通过页面顶部提示和按钮状态反馈。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测试用例需覆盖正常流程、异常输入、权限拦截、状态变化、数据库记录和页面提示；该模块优先级为P0，应在第4周编码计划中按优先级拆分。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14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车主移动端APP/小程序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14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数据一致性：M14涉及的数据对象为users, vehicles, reservation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M14页面根据角色显示不同按钮，禁止无权限操作直接出现在可提交状态。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登录失效、预约超时、支付失败和数据延迟均通过页面顶部提示和按钮状态反馈。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TC-M14-01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TC-M14-02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TC-M14-03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TC-M14-04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TC-M14-05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登录失效、预约超时、支付失败和数据延迟均通过页面顶部提示和按钮状态反馈。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2.2.2.3.15 M15 反向寻车导航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M15属于P1优先级模块。模块目标是：按车牌/订单定位车辆，生成楼层和路线指引。该模块与数据对象 parking_orders, parking_spots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车主、停车场管理员是该模块的主要使用者；前端通过反向寻车入口、车辆位置详情、楼层/区域指引、寻车记录页承载业务操作；后端由FindCarService根据进行中订单、车位区域和楼层信息生成可读路线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车主输入车牌或选择进行中订单，系统返回车辆所在楼层、区域、车位号和文字路线。状态口径为located、not_found、manual_help_requir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反向寻车入口、车辆位置详情、楼层/区域指引、寻车记录页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FindCarService根据进行中订单、车位区域和楼层信息生成可读路线。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/api/find-car, GET /api/records/{id}/location, POST /api/find-car/manual-help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parking_orders提供进行中停车记录，parking_spots提供楼层、区域和车位编号。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车主输入车牌或选择进行中订单，系统返回车辆所在楼层、区域、车位号和文字路线。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located、not_found、manual_help_required。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定位信息不足时提示联系管理员或进入人工问询，不返回虚假路线。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15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反向寻车导航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15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数据一致性：M15涉及的数据对象为parking_orders, parking_spot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M15页面根据角色显示不同按钮，禁止无权限操作直接出现在可提交状态。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定位信息不足时提示联系管理员或进入人工问询，不返回虚假路线。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TC-M15-01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TC-M15-02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TC-M15-03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TC-M15-04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TC-M15-05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定位信息不足时提示联系管理员或进入人工问询，不返回虚假路线。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2.2.2.3.16 M16 设备运维管理平台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M16属于P2优先级模块。模块目标是：管理摄像头、道闸、诱导屏、充电桩和告警。该模块与数据对象 devices, maintenance_logs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设备运维人员、停车场管理员是该模块的主要使用者；前端通过设备台账、故障告警、维护记录、设备详情页承载业务操作；后端由DeviceService负责设备在线状态、故障等级、维护记录和心跳时间更新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系统展示摄像头、道闸、诱导屏、充电桩等设备状态，运维人员处理告警并记录维护结果。状态口径为online、offline、fault、maintenance、resolv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设备运维人员、停车场管理员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设备台账、故障告警、维护记录、设备详情页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DeviceService负责设备在线状态、故障等级、维护记录和心跳时间更新。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/api/devices, PUT /api/devices/{id}/status, POST /api/devices/{id}/maintenance, GET /api/devices/alerts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devices保存设备类型、位置、状态和心跳时间，maintenance_logs保存处理过程。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系统展示摄像头、道闸、诱导屏、充电桩等设备状态，运维人员处理告警并记录维护结果。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online、offline、fault、maintenance、resolved。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设备离线影响核心业务时，系统生成告警并触发降级策略，例如保留最近识别结果或禁止诱导发布。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测试用例需覆盖正常流程、异常输入、权限拦截、状态变化、数据库记录和页面提示；该模块优先级为P2，应在第4周编码计划中按优先级拆分。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16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设备运维管理平台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16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数据一致性：M16涉及的数据对象为devices, maintenance_log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M16页面根据角色显示不同按钮，禁止无权限操作直接出现在可提交状态。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设备离线影响核心业务时，系统生成告警并触发降级策略，例如保留最近识别结果或禁止诱导发布。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TC-M16-01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TC-M16-02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TC-M16-03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TC-M16-04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TC-M16-05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设备离线影响核心业务时，系统生成告警并触发降级策略，例如保留最近识别结果或禁止诱导发布。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2.2.2.3.17 M17 城市停车监管平台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M17属于P1优先级模块。模块目标是：展示城市停车态势、违停、收费和政策评估。该模块与数据对象 analytics_snapshots, violations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交管监管人员、城市管理人员是该模块的主要使用者；前端通过监管大屏、区域供需分析、违停治理、收费趋势、政策评估页承载业务操作；后端由RegulationService聚合多车场统计、区域饱和度、违停趋势和政策效果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监管端读取脱敏后的汇总数据，按区域、时间和指标展示停车供需、违停和收费趋势。状态口径为normal、high_saturation、violation_risk、data_delay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交管监管人员、城市管理人员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监管大屏、区域供需分析、违停治理、收费趋势、政策评估页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RegulationService聚合多车场统计、区域饱和度、违停趋势和政策效果。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/api/regulation/dashboard, GET /api/regulation/regions, GET /api/regulation/violations, GET /api/regulation/policy-effect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analytics_snapshots、parking_lots、parking_orders和violations提供监管汇总数据。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监管端读取脱敏后的汇总数据，按区域、时间和指标展示停车供需、违停和收费趋势。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normal、high_saturation、violation_risk、data_delay。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监管请求涉及个人明细时执行脱敏，数据延迟时标注更新时间和统计口径。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测试用例需覆盖正常流程、异常输入、权限拦截、状态变化、数据库记录和页面提示；该模块优先级为P1，应在第4周编码计划中按优先级拆分。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17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城市停车监管平台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17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数据一致性：M17涉及的数据对象为analytics_snapshots, violation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M17页面根据角色显示不同按钮，禁止无权限操作直接出现在可提交状态。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监管请求涉及个人明细时执行脱敏，数据延迟时标注更新时间和统计口径。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TC-M17-01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TC-M17-02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TC-M17-03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TC-M17-04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TC-M17-05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监管请求涉及个人明细时执行脱敏，数据延迟时标注更新时间和统计口径。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2.2.2.3.18 M18 商圈停车联合营销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M18属于P2优先级模块。模块目标是：配置优惠活动、停车券核销和效果统计。该模块与数据对象 marketing_campaigns, coupons 直接相关，并通过统一接口返回格式与车主端、管理端或监管端页面联动。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设计边界：商圈运营人员、车主、停车场管理员是该模块的主要使用者；前端通过营销活动配置页、停车券列表、核销页、活动效果统计页承载业务操作；后端由MarketingService负责活动规则、停车券发放、核销和效果统计。模块内部只处理本模块业务状态，不把登录、通用表格、图表渲染等支撑能力误列为额外一级模块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业务流程：运营人员配置活动，车主领取或使用停车券，出场支付时按规则抵扣并生成核销记录。状态口径为draft、active、paused、expired、redeemed。。接口层负责身份校验、参数校验和错误码返回，服务层负责业务规则与状态流转，数据访问层负责事务提交和一致性保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设计项</w:t>
            </w:r>
          </w:p>
        </w:tc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详细说明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使用角色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商圈运营人员、车主、停车场管理员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页面/交互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营销活动配置页、停车券列表、核销页、活动效果统计页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后端服务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MarketingService负责活动规则、停车券发放、核销和效果统计。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主要接口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/api/campaigns, GET /api/campaigns, POST /api/coupons/redeem, GET /api/campaigns/{id}/stats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数据对象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marketing_campaigns保存活动规则，coupons保存停车券状态，parking_orders关联核销订单。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主流程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运营人员配置活动，车主领取或使用停车券，出场支付时按规则抵扣并生成核销记录。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状态流转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draft、active、paused、expired、redeemed。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异常处理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优惠券过期、重复核销或不满足活动条件时拒绝抵扣并提示原因。</w:t>
            </w:r>
          </w:p>
        </w:tc>
      </w:tr>
      <w:tr>
        <w:tc>
          <w:tcPr>
            <w:tcW w:type="dxa" w:w="415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验收关注</w:t>
            </w:r>
          </w:p>
        </w:tc>
        <w:tc>
          <w:tcPr>
            <w:tcW w:type="dxa" w:w="4153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测试用例需覆盖正常流程、异常输入、权限拦截、状态变化、数据库记录和页面提示；该模块优先级为P2，应在第4周编码计划中按优先级拆分。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现补充：M18在演示阶段应准备至少3组正常数据、1组边界数据和1组异常数据。页面需要展示当前状态和最近更新时间；接口需要返回可读msg；数据库记录需要保留创建时间、更新时间和处理人，便于日报、周报和测试记录中追踪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页面细化：商圈停车联合营销的页面不只展示静态信息，还需要体现查询条件、当前状态、操作入口和异常反馈。列表型页面应包含关键字搜索、状态筛选、分页、详情入口和刷新时间；表单型页面应包含必填校验、提交确认、取消返回和提交结果提示；审核型页面应保留审核意见、处理人和处理时间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细化：M18相关接口入参应包含业务对象ID、当前用户身份、分页/筛选参数和必要的状态字段；出参应包含业务数据、状态标签、更新时间和错误提示。对修改类接口，后端需在服务层再次读取数据库当前状态，避免前端缓存状态导致误操作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数据一致性：M18涉及的数据对象为marketing_campaigns, coupons。设计时要求页面状态、接口返回和数据库记录三者一致；当业务状态发生变化时，服务层必须先完成状态校验，再写入数据表，最后返回统一响应。对于影响预约、订单、支付、设备和监管统计的操作，需要写入操作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扩展设计点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设计要求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落地说明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页面控件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搜索、筛选、详情、提交、取消、刷新、状态标签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M18页面根据角色显示不同按钮，禁止无权限操作直接出现在可提交状态。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接口入参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业务ID、用户身份、筛选条件、目标状态、备注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修改类接口必须携带目标对象ID，批量操作需传入ID列表并逐项返回结果。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接口出参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code、msg、data、状态、更新时间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错误时data可返回错误字段、冲突对象或建议下一步操作。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数据库写入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状态字段、时间字段、操作人、备注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关键状态变化必须留痕，避免演示和测试时无法解释数据来源。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权限控制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车主、管理员、监管人员按角色访问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车主只能访问本人数据，管理员访问所属车场，监管端访问脱敏汇总数据。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异常反馈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前端可读提示 + 后端错误码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优惠券过期、重复核销或不满足活动条件时拒绝抵扣并提示原因。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测试编号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测试场景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预期结果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TC-M18-01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正常查询/打开页面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页面加载成功，列表或详情数据与数据库模拟数据一致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TC-M18-02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正常新增/提交/发布/确认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接口返回code=0，数据库新增记录或状态正确变化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TC-M18-03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异常输入或缺少必填字段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接口返回400，前端展示字段级提示，不写入错误数据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TC-M18-04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权限不足访问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接口返回401或403，前端提示登录或无权操作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TC-M18-05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优惠券过期、重复核销或不满足活动条件时拒绝抵扣并提示原因。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系统保留可追踪记录，页面提示清晰，核心状态不被错误覆盖</w:t>
            </w:r>
          </w:p>
        </w:tc>
      </w:tr>
    </w:tbl>
    <w:p/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2.2.3 接口描述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接口统一采用HTTP/1.1 + RESTful JSON，统一响应格式为 {code, msg, data}。code=0表示成功，400表示参数错误，401表示未登录，403表示无权限，404表示资源不存在，500表示服务端异常。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接口组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方法与路径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关联模块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停车资源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/api/lots/search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按位置、区域、价格、空位查询停车资源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M2/M3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/api/reservations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创建预约并锁定车位15分钟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M5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PUT /api/reservations/{id}/confirm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车辆到场后确认预约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M5/M6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车牌事件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/api/license-plate/events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模拟入出场车牌识别事件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支付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/api/payments/mock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模拟无感支付并更新订单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M6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/api/guide-screens/publish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生成并发布诱导内容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M4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动态定价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/api/pricing-rules/evaluate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按规则计算价格系数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M8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监管态势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GET /api/regulation/dashboard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查询城市停车监管汇总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M17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设备运维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PUT /api/devices/{id}/status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更新设备状态和告警处理结果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M16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营销核销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POST /api/coupons/redeem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核销商圈停车优惠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M18</w:t>
            </w:r>
          </w:p>
        </w:tc>
      </w:tr>
    </w:tbl>
    <w:p/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3 数据结构/数据库设计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3.1 概念模型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核心概念模型围绕用户、车辆、停车场、车位、预约、订单、设备、违停证据、定价规则、营销活动和统计快照展开。用户与车辆、预约、订单存在一对多关系；停车场与车位、设备、订单存在一对多关系；预约确认后生成订单；订单、违停、定价和营销数据进入统计快照供运营和监管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747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图3-1 核心实体关系图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3.2 数据库表设计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表名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关键字段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用户与角色权限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username, password_hash, phone, role, created_at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vehicles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车牌与车辆信息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user_id, plate_number, vehicle_type, default_flag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parking_lots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停车场基础信息和接入状态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name, address, region, total_spots, rate_per_hour, 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parking_spots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车位状态、类型和位置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lot_id, spot_number, floor, zone, status, spot_type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reservations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预约锁定、确认、取消和过期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user_id, spot_id, status, expire_at, confirm_at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parking_orders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入出场订单、计费和支付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user_id, spot_id, plate_number, entry_time, exit_time, amount, 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shared_spots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共享车位发布与收益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owner_id, spot_id, available_start, available_end, price, 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charging_piles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充电桩和充电车位状态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spot_id, power_kw, status, fault_type, last_update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violations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违停证据与审核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plate_number, location, evidence_url, review_status, violation_at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monthly_cards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月卡申请、审批和续费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user_id, plate_number, lot_id, valid_to, 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devices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设备台账、在线状态和运维日志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lot_id, device_type, status, firmware_version, last_heartbeat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guide_screens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诱导屏位置和发布内容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location, related_lot_id, content, publish_status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pricing_rules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动态定价规则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lot_id, period, factor, reason, enabled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marketing_campaigns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商圈营销活动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name, merchant, rule_desc, valid_to, status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analytics_snapshots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统计指标快照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id, lot_id, metric_type, metric_value, snapshot_at</w:t>
            </w:r>
          </w:p>
        </w:tc>
      </w:tr>
    </w:tbl>
    <w:p/>
    <w:p>
      <w:pPr>
        <w:pStyle w:val="3"/>
        <w:keepNext/>
      </w:pPr>
      <w:r>
        <w:rPr>
          <w:rFonts w:ascii="Times New Roman" w:hAnsi="Times New Roman" w:eastAsia="黑体"/>
          <w:b/>
          <w:sz w:val="24"/>
        </w:rPr>
        <w:t>3.2.1 核心数据表字段展开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以下字段设计用于支撑18个一级模块的编码落地。正式编码时可在不改变业务含义的前提下补充索引、默认值和审计字段，但不得删除影响需求追踪的关键字段。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users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用户唯一编号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username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VARCHAR(50)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唯一、非空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登录用户名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password_hash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VARCHAR(255)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bcrypt密码哈希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phone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手机号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role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user/admin/owner/gov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created_at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默认当前时间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注册时间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users表的设计重点是保证业务状态可追踪。新增或更新记录时应写入更新时间，关键状态变化由服务层统一处理，避免页面直接拼接SQL造成状态不一致。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parking_lots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name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VARCHAR(100)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唯一、非空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车场名称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address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VARCHAR(255)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详细地址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region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VARCHAR(50)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行政区域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total_spots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总车位数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rate_per_hour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DECIMAL(10,2)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基础费率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默认active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营业/离线/维护状态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parking_lots表的设计重点是保证业务状态可追踪。新增或更新记录时应写入更新时间，关键状态变化由服务层统一处理，避免页面直接拼接SQL造成状态不一致。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parking_spots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lot_id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所属车场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spot_number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floor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楼层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zone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区域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free/locked/occupied/disabled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spot_type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默认normal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普通/充电/月卡/无障碍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parking_spots表的设计重点是保证业务状态可追踪。新增或更新记录时应写入更新时间，关键状态变化由服务层统一处理，避免页面直接拼接SQL造成状态不一致。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reservations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预约用户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spot_id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预约车位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created/confirmed/cancelled/expired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expire_at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锁定过期时间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confirm_at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到场确认时间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reservations表的设计重点是保证业务状态可追踪。新增或更新记录时应写入更新时间，关键状态变化由服务层统一处理，避免页面直接拼接SQL造成状态不一致。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parking_orders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订单编号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user_id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spot_id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停车车位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plate_number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entry_time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入场时间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exit_time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出场时间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amount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DECIMAL(10,2)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应付金额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parking/pending_pay/paid/exception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parking_orders表的设计重点是保证业务状态可追踪。新增或更新记录时应写入更新时间，关键状态变化由服务层统一处理，避免页面直接拼接SQL造成状态不一致。</w:t>
      </w:r>
    </w:p>
    <w:p>
      <w:pPr>
        <w:pStyle w:val="4"/>
        <w:keepNext/>
      </w:pPr>
      <w:r>
        <w:rPr>
          <w:rFonts w:ascii="Times New Roman" w:hAnsi="Times New Roman" w:eastAsia="黑体"/>
          <w:b/>
          <w:sz w:val="22"/>
        </w:rPr>
        <w:t>3.2.1 devices 表字段说明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约束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设备编号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lot_id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INTEGER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所属车场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device_type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VARCHAR(30)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camera/gate/screen/charger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status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VARCHAR(20)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online/offline/fault/maintenance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last_heartbeat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DATETIME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最近心跳时间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remark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TEXT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故障或维护备注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devices表的设计重点是保证业务状态可追踪。新增或更新记录时应写入更新时间，关键状态变化由服务层统一处理，避免页面直接拼接SQL造成状态不一致。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3.3 存储过程设计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实训阶段使用SQLite，不设计数据库存储过程。预约超时释放、统计聚合和价格计算由后端服务层定时任务或接口逻辑实现。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3.4 视图设计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视图名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字段口径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v_lot_realtime_status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停车一张图实时展示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车场、区域、总车位、空余车位、价格、更新时间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v_order_revenue_daily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运营收入日报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日期、车场、订单数、收入、平均停车时长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v_regulation_summary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监管汇总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区域、车场数、总车位、占用率、违停数</w:t>
            </w:r>
          </w:p>
        </w:tc>
      </w:tr>
    </w:tbl>
    <w:p/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3.5 触发器设计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不使用数据库触发器。订单完成、预约取消、支付成功等状态变更由服务层显式更新，并写入操作日志，避免演示环境中隐式逻辑难以追踪。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3.6 函数设计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主要函数包括calculate_fee(order, pricing_rule)、release_expired_reservations(now)、aggregate_lot_status(lot_id)、evaluate_pricing_factor(lot_id, time_range)和mask_regulation_data(records)。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3.7 基础数据配置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基础数据包括示例停车场、车位、车辆、管理员账号、设备、诱导屏、价格规则、营销活动和历史订单。初始化脚本应保证车主端、运营端和监管端都有可演示数据。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4 界面设计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本节展示系统的核心界面设计，包含车主端、管理端和监管端三大类界面。每个界面均配有说明表格和界面模拟图。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4.1 车主端核心界面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车主端采用移动端优先的卡片式布局，底部导航栏包含首页、预约、订单、我的四个入口。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首页/搜索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目的地搜索框、附近车场卡片、空位/价格标签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输入目的地后查询停车一张图并按距离与空位排序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车场详情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车场信息、车位网格、预约按钮、收费规则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选择可预约车位后进入预约确认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预约确认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预约车位、倒计时、取消/到场确认按钮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锁定15分钟，超时自动释放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出场支付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订单金额、停车时长、模拟支付按钮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支付成功后完成订单并释放车位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反向寻车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车牌输入、楼层区域、路线文本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按进行中订单生成寻车指引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wner_01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图4-1 车主端-首页/搜索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wner_02_de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图4-2 车主端-车场详情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wner_03_rese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图4-3 车主端-预约确认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wner_04_pa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图4-4 车主端-出场支付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owner_05_findc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图4-5 车主端-反向寻车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4.2 管理端核心界面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管理端采用桌面端布局，左侧菜单导航，右侧内容区域展示数据表格、统计卡片和操作入口。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运营概览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车位利用率、收入、订单、异常卡片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查看车场经营状态并进入明细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数据接入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停车场接入配置、同步状态、离线告警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维护路外停车场模拟接口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诱导发布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诱导屏列表、发布内容、发布状态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生成并模拟发布诱导信息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动态定价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价格规则表、时段系数、发布记录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配置并审计价格策略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设备运维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设备列表、故障等级、处理记录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处理摄像头、道闸、诱导屏和充电桩状态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01_over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图4-6 管理端-运营概览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02_acc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图4-7 管理端-数据接入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03_guid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图4-8 管理端-诱导发布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04_pric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图4-9 管理端-动态定价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admin_05_devi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图4-10 管理端-设备运维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4.3 监管端核心界面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监管端以大屏展示和数据汇总为主，支持区域态势、违停审核和政策评估功能。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界面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核心元素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交互说明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监管大屏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区域占用率、供需趋势、违停数量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展示城市级汇总数据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违停审核</w:t>
            </w:r>
          </w:p>
        </w:tc>
        <w:tc>
          <w:tcPr>
            <w:tcW w:type="dxa" w:w="276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证据图片、车牌、位置、复核状态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审核模拟违停取证记录</w:t>
            </w:r>
          </w:p>
        </w:tc>
      </w:tr>
      <w:tr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政策评估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价格、饱和度、投诉/违停趋势</w:t>
            </w:r>
          </w:p>
        </w:tc>
        <w:tc>
          <w:tcPr>
            <w:tcW w:type="dxa" w:w="276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辅助评估停车政策效果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g_01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图4-11 监管端-监管大屏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g_02_viol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图4-12 监管端-违停审核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7550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g_03_polic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sz w:val="18"/>
        </w:rPr>
        <w:t>图4-13 监管端-政策评估</w:t>
      </w:r>
    </w:p>
    <w:p>
      <w:pPr>
        <w:pStyle w:val="1"/>
        <w:keepNext/>
      </w:pPr>
      <w:r>
        <w:rPr>
          <w:rFonts w:ascii="Times New Roman" w:hAnsi="Times New Roman" w:eastAsia="黑体"/>
          <w:b/>
          <w:sz w:val="32"/>
        </w:rPr>
        <w:t>5 出错处理设计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5.1 出错处理目标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出错处理设计用于保证系统在参数错误、权限不足、数据冲突、设备离线、模拟接口失败和支付异常等情况下仍能给出明确反馈，并尽量保持核心业务状态一致。系统采用“前端提示 + 后端校验 + 数据状态保护 + 操作日志记录”的组合策略，使异常可发现、可定位、可恢复、可复盘。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本系统的出错处理范围覆盖车主端、管理端、监管端、后端服务、数据库访问和外部模拟能力。车主端重点保证用户知道下一步如何处理；管理端重点保证异常可进入人工处理；后端重点保证接口返回统一、状态不被错误写入；数据库重点保证预约、订单、车位和支付状态不会相互矛盾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5.2 错误分类与处理策略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错误场景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触发条件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处理策略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用户/管理员提示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输入参数错误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必填字段为空、格式不合法、分页参数越界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后端Pydantic校验失败后返回400；前端表单同步提示错误字段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请检查输入内容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未登录或权限不足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Session失效、普通用户访问管理接口、监管数据越权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接口返回401/403，前端跳转登录或提示无权限；管理操作不落库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请先登录/无权执行该操作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预约车位已被占用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创建预约前车位状态由free变为locked/occupied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事务内重新校验车位状态，不创建预约；刷新车位列表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车位已不可预约，请重新选择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预约超时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锁定时间超过15分钟且未确认到场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定时任务释放车位并更新预约状态为expired；保留预约记录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预约已超时，车位已释放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模拟支付失败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支付适配器返回失败、金额异常、订单已关闭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订单保持pending_pay状态，允许重试或人工处理；不释放车位直到流程确认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支付失败，请重试或联系管理员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设备/诱导屏离线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设备心跳超时、发布诱导内容失败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保留最近一次有效状态并生成告警；发布失败时不覆盖原内容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设备离线，已记录告警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外部模拟接口异常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AI/GIS/支付/硬件模拟服务不可用或返回空数据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降级使用缓存/初始数据，记录日志；页面标注更新时间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数据暂不可用，展示最近一次结果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监管数据敏感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监管端请求包含个人手机号、完整车牌或用户明细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汇总脱敏后展示，不暴露个人手机号和完整车牌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仅展示汇总统计</w:t>
            </w:r>
          </w:p>
        </w:tc>
      </w:tr>
    </w:tbl>
    <w:p/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5.3 统一错误码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所有接口返回结构统一为 {code, msg, data}。成功时code=0，失败时code使用固定枚举，msg给出可读提示，data可携带错误字段、重试建议或异常追踪编号。前端Axios拦截器根据错误码统一处理登录失效、权限不足、参数错误和服务异常。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错误码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适用场景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前端处理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成功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接口正常完成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更新页面状态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参数错误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表单字段为空、格式错误、范围越界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展示字段级提示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401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未登录/登录失效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Session不存在或过期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跳转登录页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403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无权限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角色不匹配、越权访问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提示无权操作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404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资源不存在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车位、订单、预约、设备不存在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提示重新刷新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409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状态冲突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车位被占、预约已取消、订单已支付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刷新业务状态并提示重试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429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操作过于频繁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短时间重复预约、重复支付、重复提交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限制按钮并提示稍后再试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500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服务端异常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数据库异常、服务逻辑异常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展示通用错误并记录追踪号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503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外部模拟服务不可用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AI/GIS/支付/设备模拟接口失败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展示缓存数据或降级提示</w:t>
            </w:r>
          </w:p>
        </w:tc>
      </w:tr>
    </w:tbl>
    <w:p/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5.4 关键业务异常流程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业务流程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异常点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处理步骤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状态结果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车主预约车位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车位被并发预约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重新读取车位状态；若非free则拒绝创建预约；返回409；前端刷新车位网格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无新预约，车位状态以数据库为准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预约到场确认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预约已超时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校验expire_at；超时则更新预约为expired并释放车位；提示重新预约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reservation=expired, spot=free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车牌入场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车牌无法识别或无预约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生成待人工确认记录；允许管理员补录车牌或绑定订单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order=pending_confirm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出场计费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订单缺少入场时间或费率异常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拒绝结算；写入异常日志；管理员修正订单数据后重试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order=exception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模拟支付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支付失败或重复支付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失败保持待支付；重复支付返回409并读取已有支付结果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order=pending_pay或paid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诱导信息发布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诱导屏离线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不覆盖上一条有效发布内容；生成设备告警；记录发布时间和失败原因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publish_log=failed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违停取证审核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证据不足或车牌冲突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进入人工复核状态；不进入监管确认列表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violation=pending_review</w:t>
            </w:r>
          </w:p>
        </w:tc>
      </w:tr>
    </w:tbl>
    <w:p/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5.5 日志、告警与恢复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日志策略：关键操作记录操作者、时间、接口路径、对象ID、原状态、新状态、处理结果和错误码；异常日志记录请求参数摘要、异常类型、追踪编号和处理方式，便于测试阶段复盘。日志不保存明文密码、完整支付信息和不必要的个人敏感信息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告警策略：设备离线、接口同步失败、支付失败、预约状态冲突、统计数据异常和诱导发布失败均进入告警列表。告警等级分为提示、重要、严重三级；管理端支持筛选、处理、备注和关闭。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恢复策略：系统优先通过重新读取数据库状态恢复页面；对外部模拟能力失败采用最近一次有效数据或初始化数据降级；对预约、订单、支付等核心状态冲突，不做静默覆盖，由服务层返回错误码并要求用户或管理员重新确认。</w:t>
      </w:r>
    </w:p>
    <w:p>
      <w:pPr>
        <w:pStyle w:val="2"/>
        <w:keepNext/>
      </w:pPr>
      <w:r>
        <w:rPr>
          <w:rFonts w:ascii="Times New Roman" w:hAnsi="Times New Roman" w:eastAsia="黑体"/>
          <w:b/>
          <w:sz w:val="28"/>
        </w:rPr>
        <w:t>5.6 设计评审与发布结论</w:t>
      </w:r>
    </w:p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2026年6月5日由系统架构师程晓洋组织全员设计评审，程子浩以RA/QA视角检查需求到设计的追踪关系，丁梓钊以PM/前端视角检查页面、交互和异常提示是否满足用户场景。评审重点围绕HLD完整性、出错处理、接口一致性、数据库状态一致性和第4周编码可执行性展开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编号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评审项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结论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处理结果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DR-07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HLD是否覆盖6月3日和6月4日任务要求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上下文图、架构图、活动图、时序图、接口、ER/表结构和界面设计已整合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DR-08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第5章出错处理是否支撑核心业务闭环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补充错误分类、错误码、预约/支付/设备等关键异常流程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DR-09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SRS 18个一级模块是否可追踪到HLD模块、接口和数据表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模块分解表、接口清单和数据库表设计保持一致</w:t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DR-10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第4周编码是否具备明确输入</w:t>
            </w:r>
          </w:p>
        </w:tc>
        <w:tc>
          <w:tcPr>
            <w:tcW w:type="dxa" w:w="207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</w:t>
            </w:r>
          </w:p>
        </w:tc>
        <w:tc>
          <w:tcPr>
            <w:tcW w:type="dxa" w:w="207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已明确前后端分工、P0优先级和异常处理约束</w:t>
            </w:r>
          </w:p>
        </w:tc>
      </w:tr>
    </w:tbl>
    <w:p/>
    <w:p>
      <w:pPr>
        <w:spacing w:line="288" w:lineRule="auto" w:after="100"/>
      </w:pPr>
      <w:r>
        <w:rPr>
          <w:rFonts w:ascii="Times New Roman" w:hAnsi="Times New Roman" w:eastAsia="宋体"/>
          <w:b w:val="0"/>
          <w:sz w:val="21"/>
        </w:rPr>
        <w:t>评审结论：HLD V1.0通过小组设计评审，可作为第4周详细设计、编码实现和测试用例编写依据；系统设计提交至QQ群“04_系统设计”目录。</w:t>
      </w:r>
    </w:p>
    <w:sectPr w:rsidR="005A68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046ED" w14:textId="77777777" w:rsidR="005A68AE" w:rsidRDefault="005A68AE">
      <w:r>
        <w:separator/>
      </w:r>
    </w:p>
  </w:endnote>
  <w:endnote w:type="continuationSeparator" w:id="0">
    <w:p w14:paraId="7DB04AA5" w14:textId="77777777" w:rsidR="005A68AE" w:rsidRDefault="005A6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0FEE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0EA4D942" w14:textId="77777777" w:rsidR="005A68AE" w:rsidRDefault="005A68A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D498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</w:rPr>
      <w:t xml:space="preserve">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C0D4" w14:textId="77777777" w:rsidR="005A68AE" w:rsidRDefault="005A68AE">
    <w:pPr>
      <w:pStyle w:val="a5"/>
    </w:pPr>
    <w:r>
      <w:rPr>
        <w:rFonts w:hint="eastAsia"/>
        <w:b/>
        <w:color w:val="7F7F7F"/>
      </w:rPr>
      <w:t xml:space="preserve">  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 w:val="en-US" w:eastAsia="zh-CN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</w:t>
    </w:r>
    <w:r>
      <w:rPr>
        <w:rFonts w:hint="eastAsia"/>
        <w:b/>
        <w:color w:val="7F7F7F"/>
      </w:rPr>
      <w:t xml:space="preserve">    </w:t>
    </w:r>
    <w:r>
      <w:rPr>
        <w:rFonts w:hint="eastAsia"/>
        <w:b/>
        <w:color w:val="7F7F7F"/>
      </w:rPr>
      <w:t xml:space="preserve">  </w:t>
    </w:r>
    <w:r>
      <w:rPr>
        <w:rFonts w:hint="eastAsia"/>
        <w:b/>
        <w:color w:val="7F7F7F"/>
      </w:rPr>
      <w:t xml:space="preserve">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DBB5B8E" w14:textId="77777777" w:rsidR="005A68AE" w:rsidRDefault="005A68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851C8" w14:textId="77777777" w:rsidR="005A68AE" w:rsidRDefault="005A68AE">
      <w:r>
        <w:separator/>
      </w:r>
    </w:p>
  </w:footnote>
  <w:footnote w:type="continuationSeparator" w:id="0">
    <w:p w14:paraId="476BED7E" w14:textId="77777777" w:rsidR="005A68AE" w:rsidRDefault="005A6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4EA01" w14:textId="77777777" w:rsidR="005A68AE" w:rsidRDefault="005A68AE">
    <w:pPr>
      <w:pStyle w:val="a6"/>
      <w:pBdr>
        <w:bottom w:val="single" w:sz="4" w:space="1" w:color="auto"/>
      </w:pBdr>
      <w:tabs>
        <w:tab w:val="clear" w:pos="4153"/>
        <w:tab w:val="clear" w:pos="8306"/>
      </w:tabs>
      <w:jc w:val="left"/>
      <w:rPr>
        <w:sz w:val="24"/>
        <w:szCs w:val="24"/>
      </w:rPr>
    </w:pP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                                     </w:t>
    </w:r>
    <w:r>
      <w:pict w14:anchorId="6E5465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7" o:spid="_x0000_i1026" type="#_x0000_t75" style="width:51.5pt;height:24.5pt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B32C" w14:textId="77777777" w:rsidR="005A68AE" w:rsidRDefault="005A68AE">
    <w:pPr>
      <w:pStyle w:val="a6"/>
      <w:pBdr>
        <w:bottom w:val="single" w:sz="4" w:space="1" w:color="auto"/>
      </w:pBdr>
      <w:jc w:val="left"/>
    </w:pPr>
    <w:r>
      <w:rPr>
        <w:rFonts w:hint="eastAsia"/>
        <w:sz w:val="24"/>
        <w:szCs w:val="24"/>
      </w:rPr>
      <w:t>武汉学链科技有限公司</w:t>
    </w:r>
    <w:r>
      <w:rPr>
        <w:rFonts w:hint="eastAsia"/>
        <w:sz w:val="24"/>
        <w:szCs w:val="24"/>
      </w:rPr>
      <w:t xml:space="preserve"> </w:t>
    </w:r>
    <w:r>
      <w:rPr>
        <w:rFonts w:hint="eastAsia"/>
      </w:rPr>
      <w:t xml:space="preserve">                                                            </w:t>
    </w:r>
    <w:r>
      <w:pict w14:anchorId="36B4B8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i1025" type="#_x0000_t75" style="width:51.5pt;height:24.5pt">
          <v:imagedata r:id="rId1" o:title=""/>
        </v:shape>
      </w:pict>
    </w:r>
    <w:r>
      <w:rPr>
        <w:rFonts w:hint="eastAsia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ZhYjI3NzQzODFmNDVjZjlmNTRkMWE3YTI3NzI1OTkifQ=="/>
  </w:docVars>
  <w:rsids>
    <w:rsidRoot w:val="00172A27"/>
    <w:rsid w:val="005A68AE"/>
    <w:rsid w:val="00FA6FC1"/>
    <w:rsid w:val="012A0C1E"/>
    <w:rsid w:val="0EC60F95"/>
    <w:rsid w:val="18584E7F"/>
    <w:rsid w:val="2D45244D"/>
    <w:rsid w:val="57866ED1"/>
    <w:rsid w:val="5A897717"/>
    <w:rsid w:val="635A2B8A"/>
    <w:rsid w:val="6686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07BF7F6"/>
  <w15:chartTrackingRefBased/>
  <w15:docId w15:val="{F038FFE0-75B0-42F3-8A15-82366AB9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link w:val="CharCharChar1CharCharCharCharCharCharChar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"/>
    <w:basedOn w:val="a"/>
    <w:pPr>
      <w:spacing w:after="12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semiHidden/>
    <w:pPr>
      <w:ind w:leftChars="200" w:left="420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Arial" w:hAnsi="Arial" w:cs="Arial"/>
      <w:sz w:val="24"/>
      <w:szCs w:val="24"/>
    </w:rPr>
  </w:style>
  <w:style w:type="paragraph" w:styleId="a7">
    <w:name w:val="Body Text First Indent"/>
    <w:basedOn w:val="a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CharCharChar1CharCharCharCharCharCharChar">
    <w:name w:val=" Char Char Char1 Char Char Char Char Char Char Char"/>
    <w:basedOn w:val="a"/>
    <w:link w:val="a0"/>
    <w:rPr>
      <w:rFonts w:ascii="Tahoma" w:hAnsi="Tahoma"/>
      <w:sz w:val="24"/>
    </w:rPr>
  </w:style>
  <w:style w:type="character" w:styleId="a8">
    <w:name w:val="page number"/>
    <w:basedOn w:val="a0"/>
  </w:style>
  <w:style w:type="character" w:styleId="a9">
    <w:name w:val="Hyperlink"/>
    <w:basedOn w:val="a0"/>
    <w:rPr>
      <w:color w:val="0000FF"/>
      <w:u w:val="single"/>
    </w:rPr>
  </w:style>
  <w:style w:type="character" w:customStyle="1" w:styleId="Char">
    <w:name w:val="表格文本 Char"/>
    <w:basedOn w:val="a0"/>
    <w:link w:val="aa"/>
    <w:rPr>
      <w:rFonts w:ascii="Arial" w:eastAsia="宋体" w:hAnsi="Arial"/>
      <w:sz w:val="21"/>
      <w:szCs w:val="21"/>
      <w:lang w:val="en-US" w:eastAsia="zh-CN" w:bidi="ar-SA"/>
    </w:rPr>
  </w:style>
  <w:style w:type="paragraph" w:customStyle="1" w:styleId="aa">
    <w:name w:val="表格文本"/>
    <w:basedOn w:val="a"/>
    <w:link w:val="Char"/>
    <w:pPr>
      <w:tabs>
        <w:tab w:val="decimal" w:pos="0"/>
      </w:tabs>
    </w:pPr>
    <w:rPr>
      <w:rFonts w:ascii="Arial" w:hAnsi="Arial"/>
      <w:sz w:val="21"/>
      <w:szCs w:val="21"/>
      <w:lang w:val="en-US" w:eastAsia="zh-CN"/>
    </w:rPr>
  </w:style>
  <w:style w:type="character" w:customStyle="1" w:styleId="CharChar">
    <w:name w:val="编写建议 Char Char"/>
    <w:basedOn w:val="a0"/>
    <w:link w:val="Char0"/>
    <w:rPr>
      <w:rFonts w:ascii="Arial" w:eastAsia="宋体" w:hAnsi="Arial" w:cs="Arial"/>
      <w:i/>
      <w:color w:val="0000FF"/>
      <w:sz w:val="21"/>
      <w:szCs w:val="21"/>
      <w:lang w:val="en-US" w:eastAsia="zh-CN" w:bidi="ar-SA"/>
    </w:rPr>
  </w:style>
  <w:style w:type="paragraph" w:customStyle="1" w:styleId="Char0">
    <w:name w:val="编写建议 Char"/>
    <w:basedOn w:val="a"/>
    <w:link w:val="CharChar"/>
    <w:pPr>
      <w:keepNext/>
      <w:widowControl/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customStyle="1" w:styleId="ab">
    <w:name w:val="缺省文本"/>
    <w:basedOn w:val="a"/>
    <w:pPr>
      <w:spacing w:line="360" w:lineRule="auto"/>
    </w:pPr>
    <w:rPr>
      <w:rFonts w:ascii="Arial" w:hAnsi="Arial"/>
      <w:sz w:val="21"/>
      <w:szCs w:val="21"/>
    </w:rPr>
  </w:style>
  <w:style w:type="paragraph" w:customStyle="1" w:styleId="ac">
    <w:name w:val="封面文档标题"/>
    <w:basedOn w:val="a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customStyle="1" w:styleId="ad">
    <w:name w:val="宋体 三号 加粗 居中"/>
    <w:basedOn w:val="a"/>
    <w:pPr>
      <w:widowControl/>
      <w:overflowPunct w:val="0"/>
      <w:spacing w:line="0" w:lineRule="atLeast"/>
      <w:jc w:val="center"/>
      <w:textAlignment w:val="baseline"/>
    </w:pPr>
    <w:rPr>
      <w:rFonts w:cs="宋体"/>
      <w:b/>
      <w:bCs/>
      <w:sz w:val="32"/>
    </w:rPr>
  </w:style>
  <w:style w:type="paragraph" w:customStyle="1" w:styleId="ae">
    <w:name w:val="封面表格文本"/>
    <w:basedOn w:val="a"/>
    <w:pPr>
      <w:jc w:val="center"/>
    </w:pPr>
    <w:rPr>
      <w:rFonts w:ascii="Arial" w:hAnsi="Arial"/>
      <w:sz w:val="21"/>
      <w:szCs w:val="21"/>
    </w:rPr>
  </w:style>
  <w:style w:type="paragraph" w:customStyle="1" w:styleId="CharCharCharChar">
    <w:name w:val=" Char Char Char Char"/>
    <w:basedOn w:val="a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1540</Words>
  <Characters>2231</Characters>
  <Application>Microsoft Office Word</Application>
  <DocSecurity>4</DocSecurity>
  <PresentationFormat/>
  <Lines>380</Lines>
  <Paragraphs>207</Paragraphs>
  <Slides>0</Slides>
  <Notes>0</Notes>
  <HiddenSlides>0</HiddenSlides>
  <MMClips>0</MMClips>
  <ScaleCrop>false</ScaleCrop>
  <Manager/>
  <Company>broadengate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Introduction 简介</dc:title>
  <dc:subject/>
  <dc:creator>testing</dc:creator>
  <cp:keywords/>
  <dc:description/>
  <cp:lastModifiedBy>梓钊 丁</cp:lastModifiedBy>
  <cp:revision>2</cp:revision>
  <dcterms:created xsi:type="dcterms:W3CDTF">2026-06-04T06:59:00Z</dcterms:created>
  <dcterms:modified xsi:type="dcterms:W3CDTF">2026-06-04T06:59:00Z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D8E198A11B5B4BF28C1BCD9BF894DEEB_12</vt:lpwstr>
  </property>
</Properties>
</file>