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Ind w:w="0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3229"/>
        <w:gridCol w:w="1980"/>
        <w:gridCol w:w="3075"/>
      </w:tblGrid>
      <w:tr w:rsidR="00000000" w14:paraId="0DA71D53" w14:textId="77777777">
        <w:trPr>
          <w:cantSplit/>
          <w:trHeight w:val="267"/>
          <w:jc w:val="center"/>
        </w:trPr>
        <w:tc>
          <w:tcPr>
            <w:tcW w:w="5209" w:type="dxa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AI-driven城市智慧停车管理与诱导系统</w:t>
            </w:r>
          </w:p>
        </w:tc>
        <w:tc>
          <w:tcPr>
            <w:tcW w:w="3075" w:type="dxa"/>
          </w:tcPr>
          <w:p w14:paraId="07316973" w14:textId="77777777" w:rsidR="005A68AE" w:rsidRDefault="005A68AE">
            <w:pPr>
              <w:pStyle w:val="ae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密级</w:t>
            </w:r>
          </w:p>
        </w:tc>
      </w:tr>
      <w:tr w:rsidR="00000000" w14:paraId="6EE85167" w14:textId="77777777">
        <w:trPr>
          <w:cantSplit/>
          <w:trHeight w:val="239"/>
          <w:jc w:val="center"/>
        </w:trPr>
        <w:tc>
          <w:tcPr>
            <w:tcW w:w="5209" w:type="dxa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项目编号：SmartPark-19</w:t>
            </w:r>
          </w:p>
        </w:tc>
        <w:tc>
          <w:tcPr>
            <w:tcW w:w="3075" w:type="dxa"/>
          </w:tcPr>
          <w:p w14:paraId="68BE7DAD" w14:textId="77777777" w:rsidR="005A68AE" w:rsidRDefault="005A68AE">
            <w:pPr>
              <w:pStyle w:val="ae"/>
              <w:rPr>
                <w:rFonts w:ascii="宋体"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仅供收件方查阅</w:t>
            </w:r>
          </w:p>
        </w:tc>
      </w:tr>
      <w:tr w:rsidR="00000000" w14:paraId="0BCDA170" w14:textId="77777777">
        <w:trPr>
          <w:cantSplit/>
          <w:trHeight w:val="631"/>
          <w:jc w:val="center"/>
        </w:trPr>
        <w:tc>
          <w:tcPr>
            <w:tcW w:w="3229" w:type="dxa"/>
            <w:tcBorders>
              <w:bottom w:val="single" w:sz="6" w:space="0" w:color="000000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项目编号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6" w:space="0" w:color="000000"/>
            </w:tcBorders>
          </w:tcPr>
          <w:p w14:paraId="316D10DC" w14:textId="77777777" w:rsidR="005A68AE" w:rsidRDefault="005A68AE">
            <w:pPr>
              <w:pStyle w:val="ae"/>
              <w:rPr>
                <w:rFonts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版本</w:t>
            </w:r>
          </w:p>
        </w:tc>
        <w:tc>
          <w:tcPr>
            <w:tcW w:w="3075" w:type="dxa"/>
            <w:tcBorders>
              <w:bottom w:val="single" w:sz="4" w:space="0" w:color="auto"/>
            </w:tcBorders>
            <w:vAlign w:val="center"/>
          </w:tcPr>
          <w:p w14:paraId="402CA548" w14:textId="77777777" w:rsidR="005A68AE" w:rsidRDefault="005A68AE">
            <w:pPr>
              <w:pStyle w:val="ae"/>
              <w:rPr>
                <w:rFonts w:ascii="Times New Roman" w:hAnsi="Times New Roman"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文档编号</w:t>
            </w:r>
          </w:p>
        </w:tc>
      </w:tr>
      <w:tr w:rsidR="00000000" w14:paraId="4DC93322" w14:textId="77777777">
        <w:trPr>
          <w:cantSplit/>
          <w:trHeight w:val="239"/>
          <w:jc w:val="center"/>
        </w:trPr>
        <w:tc>
          <w:tcPr>
            <w:tcW w:w="3229" w:type="dxa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SmartPark-19</w:t>
            </w:r>
          </w:p>
        </w:tc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w="3075" w:type="dxa"/>
            <w:tcBorders>
              <w:top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SmartPark-SD-HLD-001</w:t>
            </w:r>
          </w:p>
        </w:tc>
      </w:tr>
    </w:tbl>
    <w:p w14:paraId="3ABB8B8C" w14:textId="77777777" w:rsidR="005A68AE" w:rsidRDefault="005A68AE">
      <w:pPr>
        <w:pStyle w:val="ac"/>
        <w:spacing w:line="240" w:lineRule="auto"/>
        <w:jc w:val="both"/>
        <w:rPr>
          <w:rFonts w:ascii="华文细黑" w:eastAsia="华文细黑" w:hint="eastAsia"/>
        </w:rPr>
      </w:pPr>
      <w:bookmarkStart w:id="2" w:name="文档名称"/>
    </w:p>
    <w:p w14:paraId="47E55ECA" w14:textId="77777777" w:rsidR="005A68AE" w:rsidRDefault="005A68AE">
      <w:pPr>
        <w:pStyle w:val="ac"/>
        <w:spacing w:line="240" w:lineRule="auto"/>
        <w:jc w:val="center"/>
        <w:rPr>
          <w:rFonts w:ascii="华文细黑" w:eastAsia="华文细黑" w:hint="eastAsia"/>
        </w:rPr>
      </w:pPr>
      <w:r>
        <w:rPr>
          <w:rFonts w:ascii="Times New Roman" w:hAnsi="Times New Roman" w:eastAsia="黑体"/>
          <w:b/>
          <w:sz w:val="44"/>
        </w:rPr>
        <w:t>AI-driven城市智慧停车管理与诱导系统概要设计说明书</w:t>
      </w:r>
    </w:p>
    <w:p w14:paraId="4572388F" w14:textId="77777777" w:rsidR="005A68AE" w:rsidRDefault="005A68AE">
      <w:pPr>
        <w:rPr>
          <w:rFonts w:hint="eastAsia"/>
        </w:rPr>
      </w:pPr>
    </w:p>
    <w:p w14:paraId="49F0A33C" w14:textId="77777777" w:rsidR="005A68AE" w:rsidRDefault="005A68AE">
      <w:pPr>
        <w:rPr>
          <w:rFonts w:hint="eastAsia"/>
        </w:rPr>
      </w:pPr>
    </w:p>
    <w:p w14:paraId="2FB3141B" w14:textId="77777777" w:rsidR="005A68AE" w:rsidRDefault="005A68AE">
      <w:pPr>
        <w:rPr>
          <w:rFonts w:hint="eastAsia"/>
        </w:rPr>
      </w:pPr>
    </w:p>
    <w:p w14:paraId="04172B73" w14:textId="77777777" w:rsidR="005A68AE" w:rsidRDefault="005A68AE">
      <w:pPr>
        <w:rPr>
          <w:rFonts w:hint="eastAsia"/>
        </w:rPr>
      </w:pPr>
    </w:p>
    <w:p w14:paraId="07EA93E0" w14:textId="77777777" w:rsidR="005A68AE" w:rsidRDefault="005A68AE">
      <w:pPr>
        <w:rPr>
          <w:rFonts w:hint="eastAsia"/>
        </w:rPr>
      </w:pPr>
    </w:p>
    <w:p w14:paraId="4D37BB96" w14:textId="77777777" w:rsidR="005A68AE" w:rsidRDefault="005A68AE">
      <w:pPr>
        <w:rPr>
          <w:rFonts w:hint="eastAsia"/>
        </w:rPr>
      </w:pPr>
    </w:p>
    <w:p w14:paraId="6E2440B5" w14:textId="77777777" w:rsidR="005A68AE" w:rsidRDefault="005A68AE">
      <w:pPr>
        <w:rPr>
          <w:rFonts w:hint="eastAsia"/>
          <w:sz w:val="24"/>
          <w:szCs w:val="24"/>
        </w:rPr>
      </w:pP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38"/>
        <w:gridCol w:w="2880"/>
        <w:gridCol w:w="1291"/>
        <w:gridCol w:w="2273"/>
      </w:tblGrid>
      <w:tr w:rsidR="00000000" w14:paraId="5ABE4B10" w14:textId="77777777">
        <w:trPr>
          <w:jc w:val="center"/>
        </w:trPr>
        <w:tc>
          <w:tcPr>
            <w:tcW w:w="1738" w:type="dxa"/>
          </w:tcPr>
          <w:p w14:paraId="7FD34A13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拟制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程晓洋（SA）</w:t>
            </w:r>
          </w:p>
        </w:tc>
        <w:tc>
          <w:tcPr>
            <w:tcW w:w="1291" w:type="dxa"/>
          </w:tcPr>
          <w:p w14:paraId="591FDD1C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  <w:tr w:rsidR="00000000" w14:paraId="3A4BFF48" w14:textId="77777777">
        <w:trPr>
          <w:jc w:val="center"/>
        </w:trPr>
        <w:tc>
          <w:tcPr>
            <w:tcW w:w="1738" w:type="dxa"/>
          </w:tcPr>
          <w:p w14:paraId="51528DB6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评审人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程子浩、丁梓钊</w:t>
            </w:r>
          </w:p>
        </w:tc>
        <w:tc>
          <w:tcPr>
            <w:tcW w:w="1291" w:type="dxa"/>
          </w:tcPr>
          <w:p w14:paraId="6DFD6D04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  <w:tr w:rsidR="00000000" w14:paraId="6C0022C1" w14:textId="77777777">
        <w:trPr>
          <w:jc w:val="center"/>
        </w:trPr>
        <w:tc>
          <w:tcPr>
            <w:tcW w:w="1738" w:type="dxa"/>
          </w:tcPr>
          <w:p w14:paraId="108D41AE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批准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第19组</w:t>
            </w:r>
          </w:p>
        </w:tc>
        <w:tc>
          <w:tcPr>
            <w:tcW w:w="1291" w:type="dxa"/>
          </w:tcPr>
          <w:p w14:paraId="7FE52FD9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</w:tbl>
    <w:p w14:paraId="5C424497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754E4612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56E30BFC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5F4FAEAB" w14:textId="77777777" w:rsidR="005A68AE" w:rsidRDefault="005A68AE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 xml:space="preserve">  </w:t>
      </w:r>
    </w:p>
    <w:p w14:paraId="0EECB416" w14:textId="77777777" w:rsidR="005A68AE" w:rsidRDefault="005A68AE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武汉</w:t>
      </w:r>
      <w:r>
        <w:rPr>
          <w:rFonts w:ascii="宋体" w:hAnsi="宋体" w:hint="eastAsia"/>
          <w:b/>
          <w:sz w:val="28"/>
          <w:szCs w:val="28"/>
        </w:rPr>
        <w:t>学链</w:t>
      </w:r>
      <w:r>
        <w:rPr>
          <w:rFonts w:ascii="宋体" w:hAnsi="宋体" w:hint="eastAsia"/>
          <w:b/>
          <w:sz w:val="28"/>
          <w:szCs w:val="28"/>
        </w:rPr>
        <w:t>科技有限公司</w:t>
      </w:r>
    </w:p>
    <w:p w14:paraId="29C55AEE" w14:textId="77777777" w:rsidR="005A68AE" w:rsidRDefault="005A68AE">
      <w:pPr>
        <w:widowControl/>
        <w:spacing w:line="360" w:lineRule="auto"/>
        <w:jc w:val="center"/>
        <w:rPr>
          <w:rFonts w:ascii="华文细黑" w:eastAsia="华文细黑" w:hAnsi="华文细黑"/>
          <w:sz w:val="24"/>
          <w:szCs w:val="24"/>
        </w:rPr>
      </w:pPr>
      <w:r>
        <w:rPr>
          <w:rFonts w:ascii="华文细黑" w:eastAsia="华文细黑" w:hAnsi="华文细黑"/>
          <w:sz w:val="24"/>
          <w:szCs w:val="24"/>
        </w:rPr>
        <w:t>版权所有</w:t>
      </w:r>
      <w:r>
        <w:rPr>
          <w:rFonts w:ascii="华文细黑" w:eastAsia="华文细黑" w:hAnsi="华文细黑"/>
          <w:sz w:val="24"/>
          <w:szCs w:val="24"/>
        </w:rPr>
        <w:t xml:space="preserve">  </w:t>
      </w:r>
      <w:r>
        <w:rPr>
          <w:rFonts w:ascii="华文细黑" w:eastAsia="华文细黑" w:hAnsi="华文细黑"/>
          <w:sz w:val="24"/>
          <w:szCs w:val="24"/>
        </w:rPr>
        <w:t>不得复制</w:t>
      </w:r>
    </w:p>
    <w:p w14:paraId="133E1303" w14:textId="77777777" w:rsidR="005A68AE" w:rsidRDefault="005A68AE">
      <w:pPr>
        <w:sectPr w:rsidR="00000000">
          <w:headerReference w:type="default" r:id="rId6"/>
          <w:footerReference w:type="default" r:id="rId7"/>
          <w:headerReference w:type="first" r:id="rId8"/>
          <w:footerReference w:type="first" r:id="rId9"/>
          <w:pgSz w:w="11906" w:h="16838"/>
          <w:pgMar w:top="1440" w:right="1287" w:bottom="1440" w:left="1622" w:header="851" w:footer="992" w:gutter="0"/>
          <w:cols w:space="720"/>
          <w:titlePg/>
          <w:docGrid w:type="lines" w:linePitch="312"/>
        </w:sectPr>
      </w:pPr>
    </w:p>
    <w:p w14:paraId="4F6C168E" w14:textId="77777777" w:rsidR="005A68AE" w:rsidRDefault="005A68A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sz w:val="36"/>
          <w:szCs w:val="36"/>
        </w:rPr>
        <w:lastRenderedPageBreak/>
        <w:t>Revision Record</w:t>
      </w:r>
    </w:p>
    <w:p w14:paraId="00AA35D5" w14:textId="77777777" w:rsidR="005A68AE" w:rsidRDefault="005A68A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修订记录</w:t>
      </w:r>
    </w:p>
    <w:p w14:paraId="1CDFE39B" w14:textId="77777777" w:rsidR="005A68AE" w:rsidRDefault="005A68AE">
      <w:pPr>
        <w:jc w:val="center"/>
        <w:rPr>
          <w:rFonts w:hint="eastAsia"/>
          <w:sz w:val="21"/>
          <w:szCs w:val="21"/>
        </w:rPr>
      </w:pPr>
    </w:p>
    <w:tbl>
      <w:tblPr>
        <w:tblW w:w="0" w:type="auto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925"/>
        <w:gridCol w:w="1260"/>
        <w:gridCol w:w="1620"/>
        <w:gridCol w:w="1620"/>
        <w:gridCol w:w="1620"/>
        <w:gridCol w:w="1317"/>
      </w:tblGrid>
      <w:tr w:rsidR="00000000" w14:paraId="160D1E2B" w14:textId="77777777">
        <w:trPr>
          <w:cantSplit/>
          <w:trHeight w:val="1334"/>
          <w:tblHeader/>
          <w:jc w:val="center"/>
        </w:trPr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Date / 日期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Revision Version / 修订版本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CR ID /Defect ID / CR/ Defect号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Sec No. / 修改章节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Change Description / 修改描述</w:t>
            </w:r>
          </w:p>
        </w:tc>
        <w:tc>
          <w:tcPr>
            <w:tcW w:w="13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Author / 作者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1-2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根据SRS V1.0完成HLD简介、系统上下文和系统结构设计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2.2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补充系统架构图、业务流程活动图和模块分解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2026.06.04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DR-01~DR-06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2-4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补充核心业务时序图、接口定义、ER图、表结构和核心界面说明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2026.06.05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V1.0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DR-07~DR-10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5/全部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补充出错处理设计，完成全员设计评审并形成正式提交版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第19组</w:t>
            </w:r>
          </w:p>
        </w:tc>
      </w:tr>
    </w:tbl>
    <w:p w14:paraId="4024FA4C" w14:textId="77777777" w:rsidR="005A68AE" w:rsidRDefault="005A68AE">
      <w:pPr>
        <w:rPr>
          <w:b/>
          <w:sz w:val="21"/>
          <w:szCs w:val="21"/>
        </w:rPr>
        <w:sectPr w:rsidR="00000000">
          <w:pgSz w:w="11906" w:h="16838"/>
          <w:pgMar w:top="1440" w:right="1287" w:bottom="1440" w:left="1622" w:header="851" w:footer="992" w:gutter="0"/>
          <w:cols w:space="720"/>
          <w:titlePg/>
          <w:docGrid w:type="lines" w:linePitch="312"/>
        </w:sectPr>
      </w:pPr>
    </w:p>
    <w:p w14:paraId="65A30029" w14:textId="77777777" w:rsidR="005A68AE" w:rsidRDefault="005A68AE">
      <w:pPr>
        <w:jc w:val="center"/>
        <w:rPr>
          <w:rFonts w:hint="eastAsia"/>
          <w:b/>
          <w:sz w:val="32"/>
          <w:szCs w:val="32"/>
        </w:rPr>
      </w:pPr>
      <w:r>
        <w:rPr>
          <w:rFonts w:ascii="Times New Roman" w:hAnsi="Times New Roman" w:eastAsia="黑体"/>
          <w:b/>
          <w:sz w:val="21"/>
        </w:rPr>
        <w:t>目    录</w:t>
      </w:r>
    </w:p>
    <w:p w14:paraId="394A1AD5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1 简介</w:t>
      </w:r>
    </w:p>
    <w:p w14:paraId="6AF43378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1.1 目的</w:t>
      </w:r>
    </w:p>
    <w:p w14:paraId="3567777C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1.2 范围</w:t>
      </w:r>
    </w:p>
    <w:p w14:paraId="5D5F914F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1.2.1 软件名称</w:t>
      </w:r>
    </w:p>
    <w:p w14:paraId="3656658E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1.2.2 软件功能</w:t>
      </w:r>
    </w:p>
    <w:p w14:paraId="2B82DAF8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1.2.3 软件应用</w:t>
      </w:r>
    </w:p>
    <w:p w14:paraId="56172286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1.3 参考资料</w:t>
      </w:r>
    </w:p>
    <w:p w14:paraId="509464FE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2 概要设计</w:t>
      </w:r>
    </w:p>
    <w:p w14:paraId="67F336D8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2.1 第0层设计描述</w:t>
      </w:r>
    </w:p>
    <w:p w14:paraId="788BDCC0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2.1.1 软件系统上下文定义</w:t>
      </w:r>
    </w:p>
    <w:p w14:paraId="28A09B40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2.1.2 设计思路</w:t>
      </w:r>
    </w:p>
    <w:p w14:paraId="3470B680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2.2 第1层设计描述</w:t>
      </w:r>
    </w:p>
    <w:p w14:paraId="63161494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2.2.1 系统结构</w:t>
      </w:r>
    </w:p>
    <w:p w14:paraId="612067ED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2.2.1.1 系统结构描述</w:t>
      </w:r>
    </w:p>
    <w:p w14:paraId="333FDA19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2.2.1.2 业务流程说明</w:t>
      </w:r>
    </w:p>
    <w:p w14:paraId="339EB33F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2.2.2 分解描述</w:t>
      </w:r>
    </w:p>
    <w:p w14:paraId="6A4F3A45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2.2.3 接口描述</w:t>
      </w:r>
    </w:p>
    <w:p w14:paraId="7C7B66B8" w14:textId="77777777" w:rsidR="005A68AE" w:rsidRDefault="005A68AE">
      <w:pPr>
        <w:pStyle w:val="TOC5"/>
        <w:tabs>
          <w:tab w:val="right" w:leader="dot" w:pos="8306"/>
        </w:tabs>
        <w:ind w:left="1600"/>
      </w:pPr>
      <w:r>
        <w:rPr>
          <w:rFonts w:ascii="Times New Roman" w:hAnsi="Times New Roman" w:eastAsia="宋体"/>
          <w:b w:val="0"/>
          <w:sz w:val="21"/>
        </w:rPr>
        <w:t>3 数据结构/数据库设计</w:t>
      </w:r>
    </w:p>
    <w:p w14:paraId="25209223" w14:textId="77777777" w:rsidR="005A68AE" w:rsidRDefault="005A68AE">
      <w:pPr>
        <w:pStyle w:val="TOC5"/>
        <w:tabs>
          <w:tab w:val="right" w:leader="dot" w:pos="8306"/>
        </w:tabs>
        <w:ind w:left="1600"/>
      </w:pPr>
      <w:r>
        <w:rPr>
          <w:rFonts w:ascii="Times New Roman" w:hAnsi="Times New Roman" w:eastAsia="宋体"/>
          <w:b w:val="0"/>
          <w:sz w:val="21"/>
        </w:rPr>
        <w:t>3.1 概念模型</w:t>
      </w:r>
    </w:p>
    <w:p w14:paraId="6D9314C4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3.2 数据库表设计</w:t>
      </w:r>
    </w:p>
    <w:p w14:paraId="3E908B0E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3.3 存储过程设计</w:t>
      </w:r>
    </w:p>
    <w:p w14:paraId="4A3368A2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3.4 视图设计</w:t>
      </w:r>
    </w:p>
    <w:p w14:paraId="3141F2CF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3.5 触发器设计</w:t>
      </w:r>
    </w:p>
    <w:p w14:paraId="4A0CAE83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3.6 函数设计</w:t>
      </w:r>
    </w:p>
    <w:p w14:paraId="638FC416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3.7 基础数据配置</w:t>
      </w:r>
    </w:p>
    <w:p w14:paraId="1D625A6F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 界面设计</w:t>
      </w:r>
    </w:p>
    <w:p w14:paraId="61341104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4.1 车主端核心界面</w:t>
      </w:r>
    </w:p>
    <w:p w14:paraId="257DA53D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4.2 管理端核心界面</w:t>
      </w:r>
    </w:p>
    <w:p w14:paraId="6038E661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4.3 监管端核心界面</w:t>
      </w:r>
    </w:p>
    <w:p w14:paraId="01EB138C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5 出错处理设计</w:t>
      </w:r>
    </w:p>
    <w:p w14:paraId="3259A273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5.1 出错处理目标</w:t>
      </w:r>
    </w:p>
    <w:p w14:paraId="33B9DF49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5.2 错误分类与处理策略</w:t>
      </w:r>
    </w:p>
    <w:p w14:paraId="7CB7C543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5.3 统一错误码</w:t>
      </w:r>
    </w:p>
    <w:p w14:paraId="3117A210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5.4 关键业务异常流程</w:t>
      </w:r>
    </w:p>
    <w:p w14:paraId="72B10A10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5.5 日志、告警与恢复</w:t>
      </w:r>
    </w:p>
    <w:p w14:paraId="0CDC083E" w14:textId="77777777" w:rsidR="005A68AE" w:rsidRDefault="005A68AE">
      <w:pPr>
        <w:rPr>
          <w:rFonts w:hint="eastAsia"/>
          <w:b/>
          <w:sz w:val="21"/>
          <w:szCs w:val="21"/>
        </w:rPr>
      </w:pPr>
      <w:r>
        <w:rPr>
          <w:rFonts w:ascii="Times New Roman" w:hAnsi="Times New Roman" w:eastAsia="宋体"/>
          <w:b w:val="0"/>
          <w:sz w:val="21"/>
        </w:rPr>
        <w:t>5.6 设计评审与发布结论</w:t>
      </w:r>
    </w:p>
    <w:p w14:paraId="7034F2E2" w14:textId="77777777" w:rsidR="005A68AE" w:rsidRDefault="005A68AE">
      <w:pPr>
        <w:rPr>
          <w:rFonts w:hint="eastAsia"/>
          <w:b/>
          <w:sz w:val="21"/>
          <w:szCs w:val="21"/>
        </w:rPr>
        <w:sectPr w:rsidR="00000000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Keywords 关键词：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智慧停车；概要设计；系统上下文；模块分解；时序图；接口设计；数据库设计；界面设计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Abstract 摘    要：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本文档按照《概要设计说明书》模板编写，基于《功能需求规格说明书 SRS V1.0》对AI-driven城市智慧停车管理与诱导系统进行高层设计。文档覆盖系统上下文、架构设计、业务流程、模块分解、接口、数据库结构、核心界面和出错处理，为后续编码实现与测试提供依据。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List of abbreviations 缩略语清单：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缩略语见前置表格。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1 简介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1.1 目的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本文档描述AI-driven城市智慧停车管理与诱导系统的概要设计，明确系统边界、总体架构、模块拆分、核心业务流程、接口和数据结构。预期读者包括项目成员、系统架构师、开发人员、测试人员和课程评审人员。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1.2 范围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1.2.1 软件名称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AI-driven城市智慧停车管理与诱导系统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1.2.2 软件功能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系统覆盖SRS中的18个一级业务模块。P0模块形成车主停车闭环与运营管理闭环，P1模块增强监管、分析、诱导和共享能力，P2模块通过模拟数据与预留接口表达充电、违停、月卡、设备运维和联合营销等扩展场景。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1.2.3 软件应用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软件应用于城市停车资源查询、车位预约、停车场运营、违停监管、设备运维和商圈营销等教学实训场景。实训环境下不依赖真实AI模型、GIS地图、支付通道和硬件设备，而是通过模拟接口、状态字段、初始数据和可视化页面完成业务闭环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1.3 参考资料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《功能需求规格说明书 SRS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《软件开发计划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《项目立项报告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教师发布的第三周项目任务作业与每日任务截图（2026.06.01-2026.06.05）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2 概要设计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2.1 第0层设计描述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2.1.1 软件系统上下文定义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外部实体包括车主、停车场管理员、交管监管人员和外部模拟能力。车主通过车主端完成查询、预约、支付和寻车；管理员通过管理端维护车场、车位、订单、设备、价格和营销；监管人员查看汇总态势、违停和政策评估；AI识别、GIS、支付、道闸、诱导屏和充电桩在实训阶段以模拟服务接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图2-1 软件系统上下文图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2.1.2 设计思路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系统采用前后端分离B/S结构。前端使用Vue3、Element Plus、Vite、ECharts组织车主端、管理端和监管端页面；后端使用FastAPI提供RESTful JSON接口；数据库使用SQLite和SQLAlchemy ORM；外部能力采用适配器模式预留服务接口，当前实现使用模拟数据和状态面板。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设计原则包括：模块边界对应SRS的18个一级业务模块；注册登录、基础CRUD、订单和统计图表作为支撑能力归入相关模块；核心闭环优先实现；高风险外部依赖采用可替换模拟服务。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2.2 第1层设计描述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2.2.1 系统结构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2.2.1.1 系统结构描述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图2-2 系统结构图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层次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组成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职责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表现层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车主端、管理端、监管端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提供搜索、预约、支付、运营、监管等页面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FastAPI Router、Session中间件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统一鉴权、参数校验、错误码和JSON响应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业务服务层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预约、订单、分析、定价、运维等服务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承载状态机、计费规则、统计聚合和模拟服务编排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数据访问层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SQLAlchemy ORM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封装模型、事务、查询和数据一致性约束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SQLite、初始化数据、日志表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保存业务状态、配置、订单和审计数据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2.2.1.2 业务流程说明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核心业务流程以车主停车闭环为主线：查询停车资源、预约锁定车位、导航入场、车牌识别生成订单、停车期间支持寻车、出场计费、模拟支付、释放车位并沉淀运营统计。管理端与监管端围绕该闭环读取和维护车场、订单、设备、违停、价格和分析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图2-3 车主停车闭环活动图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2.2.2 分解描述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系统模块分解严格对应需求规格说明书中的18个一级业务模块，按P0/P1/P2安排实现优先级。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模块ID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模块名称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优先级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功能摘要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主要数据对象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路内停车位视觉检测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模拟识别车位占用、违停和车牌，提供人工复核。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roadside_detections, violations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M2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停车场数据联网接入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接入路外停车场空位、价格和运营状态。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sync_logs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M3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城市停车一张图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汇总路内外停车资源，支持地图/列表查询和筛选。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停车诱导信息发布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按空位与拥堵状态生成并发布诱导屏内容。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guide_screens, publish_logs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智能导航与车位预约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推荐停车方案，锁定车位并管理预约状态。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车牌识别与无感支付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模拟车牌入出场、自动计费和无感支付。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vehicles, parking_orders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M7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停车行为大数据分析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统计周转率、饱和度、停留时长和收入趋势。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parking_orders, analytics_snapshots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动态定价策略引擎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按时段、热度和利用率计算价格系数。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pricing_rules, pricing_logs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M9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共享停车管理平台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支持共享车位发布、预约和收益统计。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shared_spots, reservations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M10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充电车位智能管理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管理充电车位、充电桩状态和异常占用。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charging_piles,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M11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违停自动抓拍与取证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模拟违停抓拍、证据归档和审核处理。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violations, review_logs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M12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长期停车月卡管理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支持月卡申请、审批、续费和到期提醒。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monthly_cards, vehicles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M13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车场运营管理后台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承载车场、车位、订单、设备、价格和统计管理。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parking_orders, devices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M14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车主移动端APP/小程序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承载搜索、预约、支付、记录、寻车和优惠入口。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users, vehicles, reservations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M15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反向寻车导航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按车牌/订单定位车辆，生成楼层和路线指引。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设备运维管理平台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管理摄像头、道闸、诱导屏、充电桩和告警。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devices, maintenance_logs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城市停车监管平台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展示城市停车态势、违停、收费和政策评估。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analytics_snapshots, violations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商圈停车联合营销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配置优惠活动、停车券核销和效果统计。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marketing_campaigns, coupons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 P0核心闭环模块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P0模块包括M2、M3、M5、M6、M13、M14，负责停车场数据接入、一张图查询、预约、车牌识别计费、运营后台和车主移动端，是课程演示必须稳定闭合的主路径。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2.2.2.1.1 智能导航与车位预约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类设计：ReservationService负责预约创建、取消、确认和过期释放；SpotService负责车位状态校验与锁定；LotService负责车场查询和推荐；Reservation模型保存预约状态、锁定到期时间和关联车位。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功能实现说明：车主端提交预约请求后，接口层校验登录态与参数，预约服务检查车位可用性，写入reservations并将parking_spots.status置为locked。超时任务扫描expire_at释放未确认预约。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图2-4 预约与无感支付核心时序图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2.2.2.1.2 车牌识别与无感支付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类设计：PlateRecognitionAdapter模拟车牌识别结果；OrderService负责订单生成、计费和状态更新；PaymentAdapter模拟扣款；ParkingOrder模型记录入场、出场、金额和支付状态。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功能实现说明：车辆入场时系统根据车牌与预约状态生成订单；出场时按费率、免费时长和动态定价规则计算金额；模拟支付成功后订单完成并释放车位。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2.2.2.2 P1/P2增强与扩展模块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P1模块重点服务监管、分析和运营提效，P2模块采用模拟数据、状态字段和预留接口完成扩展表达。所有模块都通过统一API、统一错误码和统一数据字典与核心闭环联动。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 18个一级模块详细展开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节按照教师任务图要求，对18个一级业务模块逐一展开设计。每个模块均说明使用角色、页面入口、后端服务、接口、数据对象、主流程、状态流转、异常处理和验收关注点，保证后续编码时能直接从模块设计追踪到接口、数据表和测试用例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 M1 路内停车位视觉检测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M1属于P1优先级模块。模块目标是：模拟识别车位占用、违停和车牌，提供人工复核。该模块与数据对象 roadside_detections, violations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监管人员、停车场管理员是该模块的主要使用者；前端通过路内泊位检测面板、检测结果列表、人工复核弹窗、违停证据详情页承载业务操作；后端由RoadsideDetectionService负责接收模拟识别结果，ViolationService负责违停记录归档和复核状态流转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系统按摄像头或模拟数据源生成泊位识别结果，低置信度记录进入人工复核；复核通过后同步更新车位状态或生成违停记录。状态口径为detected、low_confidence、review_pending、confirmed、reject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停车监管人员、停车场管理员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路内泊位检测面板、检测结果列表、人工复核弹窗、违停证据详情页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RoadsideDetectionService负责接收模拟识别结果，ViolationService负责违停记录归档和复核状态流转。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/api/roadside/detections, GET /api/roadside/detections, PUT /api/violations/{id}/review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roadside_detections保存泊位编号、识别状态、置信度、识别时间；violations保存车牌、位置、证据、复核状态。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系统按摄像头或模拟数据源生成泊位识别结果，低置信度记录进入人工复核；复核通过后同步更新车位状态或生成违停记录。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detected、low_confidence、review_pending、confirmed、rejected。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识别结果缺少车牌或置信度过低时不直接改变车位状态，而是进入review_pending并提示管理员复核。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路内停车位视觉检测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数据一致性：M1涉及的数据对象为roadside_detections, violation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识别结果缺少车牌或置信度过低时不直接改变车位状态，而是进入review_pending并提示管理员复核。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识别结果缺少车牌或置信度过低时不直接改变车位状态，而是进入review_pending并提示管理员复核。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2.2.2.3.2 M2 停车场数据联网接入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M2属于P0优先级模块。模块目标是：接入路外停车场空位、价格和运营状态。该模块与数据对象 parking_lots, sync_logs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场管理员、系统管理员是该模块的主要使用者；前端通过停车场接入配置页、同步状态面板、离线告警列表、接入日志详情承载业务操作；后端由LotSyncService负责标准化接入、字段校验、空位数同步和离线告警；LotService负责车场基础信息维护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管理员配置车场和模拟接入参数后，系统周期性同步空位、价格和营业状态；同步失败时保留最近一次有效数据。状态口径为active、inactive、syncing、sync_failed、offline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停车场管理员、系统管理员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停车场接入配置页、同步状态面板、离线告警列表、接入日志详情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LotSyncService负责标准化接入、字段校验、空位数同步和离线告警；LotService负责车场基础信息维护。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/api/lots, PUT /api/lots/{id}, POST /api/lots/{id}/sync, GET /api/lots/{id}/sync-logs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parking_lots保存车场基础数据，parking_spots保存车位状态，sync_logs保存同步时间、结果和异常原因。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管理员配置车场和模拟接入参数后，系统周期性同步空位、价格和营业状态；同步失败时保留最近一次有效数据。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active、inactive、syncing、sync_failed、offline。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接口超时、字段缺失或空位数异常跳变时生成接入告警，页面标注最后更新时间。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2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停车场数据联网接入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2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数据一致性：M2涉及的数据对象为parking_lots, sync_log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M2页面根据角色显示不同按钮，禁止无权限操作直接出现在可提交状态。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接口超时、字段缺失或空位数异常跳变时生成接入告警，页面标注最后更新时间。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TC-M2-01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TC-M2-02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TC-M2-03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TC-M2-04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TC-M2-05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接口超时、字段缺失或空位数异常跳变时生成接入告警，页面标注最后更新时间。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2.2.2.3.3 M3 城市停车一张图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M3属于P0优先级模块。模块目标是：汇总路内外停车资源，支持地图/列表查询和筛选。该模块与数据对象 parking_lots, parking_spots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、监管人员是该模块的主要使用者；前端通过城市停车一张图、车场列表、筛选面板、车场详情、空位热度面板承载业务操作；后端由LotQueryService负责区域筛选、距离排序、价格排序和空位热度计算；MapAdapter在实训阶段使用模拟坐标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输入目的地后，系统按区域、距离、价格、空位数和更新时间聚合车场结果，并支持进入详情查看车位状态。状态口径为normal、few_spots、full、closed、data_stale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车主、监管人员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城市停车一张图、车场列表、筛选面板、车场详情、空位热度面板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LotQueryService负责区域筛选、距离排序、价格排序和空位热度计算；MapAdapter在实训阶段使用模拟坐标。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/api/lots/search, GET /api/lots/nearby, GET /api/lots/{id}/spots, GET /api/lots/hotspots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parking_lots提供车场位置、价格和营业状态；parking_spots提供空闲、锁定、占用和不可用数量。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车主输入目的地后，系统按区域、距离、价格、空位数和更新时间聚合车场结果，并支持进入详情查看车位状态。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normal、few_spots、full、closed、data_stale。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查询无结果时展示附近区域推荐；模拟地图不可用时切换列表模式并保留筛选能力。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3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城市停车一张图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3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数据一致性：M3涉及的数据对象为parking_lots, parking_spot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M3页面根据角色显示不同按钮，禁止无权限操作直接出现在可提交状态。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查询无结果时展示附近区域推荐；模拟地图不可用时切换列表模式并保留筛选能力。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TC-M3-01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TC-M3-02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TC-M3-03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TC-M3-04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TC-M3-05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查询无结果时展示附近区域推荐；模拟地图不可用时切换列表模式并保留筛选能力。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2.2.2.3.4 M4 停车诱导信息发布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M4属于P1优先级模块。模块目标是：按空位与拥堵状态生成并发布诱导屏内容。该模块与数据对象 guide_screens, publish_logs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场管理员、诱导屏运维人员是该模块的主要使用者；前端通过诱导屏管理页、发布内容编辑页、发布记录页、设备状态列表承载业务操作；后端由GuidePublishService负责根据车场空位、拥堵和设备在线状态生成诱导内容，并记录发布日志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系统根据空位阈值生成诱导文案，管理员确认后模拟发布到诱导屏；发布成功后更新屏幕当前内容。状态口径为draft、publishing、published、failed、offline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停车场管理员、诱导屏运维人员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诱导屏管理页、发布内容编辑页、发布记录页、设备状态列表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GuidePublishService负责根据车场空位、拥堵和设备在线状态生成诱导内容，并记录发布日志。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/api/guide-screens, POST /api/guide-screens/publish, GET /api/guide-screens/publish-logs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guide_screens保存屏幕位置和关联车场，publish_logs保存内容、发布时间、结果和失败原因。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系统根据空位阈值生成诱导文案，管理员确认后模拟发布到诱导屏；发布成功后更新屏幕当前内容。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draft、publishing、published、failed、offline。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诱导屏离线时不覆盖上一条有效内容，发布日志记录失败原因并进入设备告警。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4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停车诱导信息发布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4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数据一致性：M4涉及的数据对象为guide_screens, publish_log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M4页面根据角色显示不同按钮，禁止无权限操作直接出现在可提交状态。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诱导屏离线时不覆盖上一条有效内容，发布日志记录失败原因并进入设备告警。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TC-M4-01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TC-M4-02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TC-M4-03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TC-M4-04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TC-M4-05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诱导屏离线时不覆盖上一条有效内容，发布日志记录失败原因并进入设备告警。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2.2.2.3.5 M5 智能导航与车位预约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M5属于P0优先级模块。模块目标是：推荐停车方案，锁定车位并管理预约状态。该模块与数据对象 reservations, parking_spots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、停车场管理员是该模块的主要使用者；前端通过推荐车场列表、预约确认页、预约倒计时、到场确认页、预约记录页承载业务操作；后端由ReservationService负责车位锁定、预约确认、取消和超时释放；SpotService负责车位状态一致性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选择车位后创建预约，系统锁定车位15分钟；到场确认后进入停车订单流程，超时或取消则释放车位。状态口径为created、locked、confirmed、cancelled、expir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推荐车场列表、预约确认页、预约倒计时、到场确认页、预约记录页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ReservationService负责车位锁定、预约确认、取消和超时释放；SpotService负责车位状态一致性。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/api/reservations, PUT /api/reservations/{id}/confirm, PUT /api/reservations/{id}/cancel, POST /api/reservations/release-expired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reservations保存预约用户、车位、状态和过期时间；parking_spots保存free/locked/occupied状态。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车主选择车位后创建预约，系统锁定车位15分钟；到场确认后进入停车订单流程，超时或取消则释放车位。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created、locked、confirmed、cancelled、expired。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并发预约导致车位状态变化时返回409，前端刷新车位网格并提示重新选择。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5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智能导航与车位预约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5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数据一致性：M5涉及的数据对象为reservations, parking_spot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并发预约导致车位状态变化时返回409，前端刷新车位网格并提示重新选择。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TC-M5-01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TC-M5-02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TC-M5-03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TC-M5-04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TC-M5-05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并发预约导致车位状态变化时返回409，前端刷新车位网格并提示重新选择。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2.2.2.3.6 M6 车牌识别与无感支付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M6属于P0优先级模块。模块目标是：模拟车牌入出场、自动计费和无感支付。该模块与数据对象 vehicles, parking_orders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、停车场管理员是该模块的主要使用者；前端通过入出场模拟页、订单详情页、支付确认页、异常订单处理页承载业务操作；后端由PlateRecognitionAdapter模拟车牌识别，OrderService生成订单并计费，PaymentAdapter模拟无感支付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辆入场时识别车牌并生成订单，出场时按停车时长、免费时长和价格规则计算费用，支付成功后释放车位。状态口径为parking、pending_pay、paid、failed、manual_release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入出场模拟页、订单详情页、支付确认页、异常订单处理页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PlateRecognitionAdapter模拟车牌识别，OrderService生成订单并计费，PaymentAdapter模拟无感支付。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/api/license-plate/events, GET /api/orders/{id}, POST /api/orders/{id}/checkout, POST /api/payments/mock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vehicles保存车牌与用户关系，parking_orders保存入场、出场、金额和支付状态。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车辆入场时识别车牌并生成订单，出场时按停车时长、免费时长和价格规则计算费用，支付成功后释放车位。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parking、pending_pay、paid、failed、manual_release。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车牌无法识别时生成待人工确认订单；支付失败时订单保持pending_pay并允许重试。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6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车牌识别与无感支付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6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数据一致性：M6涉及的数据对象为vehicles, parking_order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车牌无法识别时生成待人工确认订单；支付失败时订单保持pending_pay并允许重试。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TC-M6-01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TC-M6-02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TC-M6-03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TC-M6-04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TC-M6-05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车牌无法识别时生成待人工确认订单；支付失败时订单保持pending_pay并允许重试。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2.2.2.3.7 M7 停车行为大数据分析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M7属于P1优先级模块。模块目标是：统计周转率、饱和度、停留时长和收入趋势。该模块与数据对象 parking_orders, analytics_snapshots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场管理员、监管人员是该模块的主要使用者；前端通过行为分析图表页、收入趋势页、周转率面板、导出报表页承载业务操作；后端由AnalyticsService负责按时间、车场、区域聚合停车时长、周转率、饱和度和收入趋势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系统从订单、车位和车场数据聚合指标，前端使用ECharts展示趋势、对比和异常峰值。状态口径为calculated、sample_insufficient、stale、exporting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停车场管理员、监管人员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行为分析图表页、收入趋势页、周转率面板、导出报表页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AnalyticsService负责按时间、车场、区域聚合停车时长、周转率、饱和度和收入趋势。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/api/analytics/turnover, GET /api/analytics/revenue, GET /api/analytics/saturation, GET /api/analytics/export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parking_orders提供订单样本，analytics_snapshots保存统计快照和统计口径。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系统从订单、车位和车场数据聚合指标，前端使用ECharts展示趋势、对比和异常峰值。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calculated、sample_insufficient、stale、exporting。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样本不足或异常订单过多时图表标注数据口径，不把取消预约和异常订单混入正常统计。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7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停车行为大数据分析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7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数据一致性：M7涉及的数据对象为parking_orders, analytics_snapshot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M7页面根据角色显示不同按钮，禁止无权限操作直接出现在可提交状态。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样本不足或异常订单过多时图表标注数据口径，不把取消预约和异常订单混入正常统计。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TC-M7-01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TC-M7-02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TC-M7-03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TC-M7-04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TC-M7-05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样本不足或异常订单过多时图表标注数据口径，不把取消预约和异常订单混入正常统计。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2.2.2.3.8 M8 动态定价策略引擎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M8属于P1优先级模块。模块目标是：按时段、热度和利用率计算价格系数。该模块与数据对象 pricing_rules, pricing_logs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场管理员、运营人员是该模块的主要使用者；前端通过动态定价规则页、价格预览页、调价日志页、规则启停页承载业务操作；后端由PricingService负责价格系数计算、规则冲突检查、价格预览和调价记录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管理员配置时段、热度和利用率条件，系统计算价格系数并在订单计费时读取有效规则。状态口径为draft、enabled、disabled、conflict、expir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停车场管理员、运营人员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动态定价规则页、价格预览页、调价日志页、规则启停页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PricingService负责价格系数计算、规则冲突检查、价格预览和调价记录。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/api/pricing-rules, PUT /api/pricing-rules/{id}, POST /api/pricing-rules/evaluate, GET /api/pricing-logs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pricing_rules保存时段、车场、系数和启停状态，pricing_logs保存计算结果和调价原因。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管理员配置时段、热度和利用率条件，系统计算价格系数并在订单计费时读取有效规则。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draft、enabled、disabled、conflict、expired。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规则冲突或超过监管限价时禁止发布，提示冲突规则并保留原价格。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8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动态定价策略引擎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8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数据一致性：M8涉及的数据对象为pricing_rules, pricing_log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M8页面根据角色显示不同按钮，禁止无权限操作直接出现在可提交状态。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规则冲突或超过监管限价时禁止发布，提示冲突规则并保留原价格。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TC-M8-01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TC-M8-02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TC-M8-03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TC-M8-04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TC-M8-05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规则冲突或超过监管限价时禁止发布，提示冲突规则并保留原价格。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2.2.2.3.9 M9 共享停车管理平台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M9属于P1优先级模块。模块目标是：支持共享车位发布、预约和收益统计。该模块与数据对象 shared_spots, reservations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位主、车主、平台管理员是该模块的主要使用者；前端通过共享车位发布页、共享车位列表、共享预约页、收益统计页承载业务操作；后端由SharedSpotService负责共享时段发布、冲突校验、预约生成和收益汇总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位主发布可共享时段，车主查询并预约，系统校验时段冲突并在完成后生成收益记录。状态口径为published、reserved、in_use、closed、cancell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车位主、车主、平台管理员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共享车位发布页、共享车位列表、共享预约页、收益统计页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SharedSpotService负责共享时段发布、冲突校验、预约生成和收益汇总。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/api/shared-spots, GET /api/shared-spots, POST /api/shared-spots/{id}/reservations, GET /api/shared-spots/income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shared_spots保存共享车位、可用时段和价格，reservations保存共享预约关系。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车位主发布可共享时段，车主查询并预约，系统校验时段冲突并在完成后生成收益记录。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published、reserved、in_use、closed、cancelled。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共享时段冲突、车位主取消或用户爽约时更新预约状态，收益只统计完成订单。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9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共享停车管理平台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9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数据一致性：M9涉及的数据对象为shared_spots, reservation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M9页面根据角色显示不同按钮，禁止无权限操作直接出现在可提交状态。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共享时段冲突、车位主取消或用户爽约时更新预约状态，收益只统计完成订单。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TC-M9-01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TC-M9-02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TC-M9-03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TC-M9-04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TC-M9-05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共享时段冲突、车位主取消或用户爽约时更新预约状态，收益只统计完成订单。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2.2.2.3.10 M10 充电车位智能管理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M10属于P2优先级模块。模块目标是：管理充电车位、充电桩状态和异常占用。该模块与数据对象 charging_piles, parking_spots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新能源车主、停车场管理员是该模块的主要使用者；前端通过充电车位列表、充电桩状态页、充电预约页、异常占用告警页承载业务操作；后端由ChargingService负责充电车位状态维护、故障标记、异常占用识别和充电预约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查看充电车位并预约，管理员维护充电桩状态；故障或普通车辆占用时生成告警。状态口径为available、reserved、charging、fault、occupied_abnormal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新能源车主、停车场管理员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充电车位列表、充电桩状态页、充电预约页、异常占用告警页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ChargingService负责充电车位状态维护、故障标记、异常占用识别和充电预约。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/api/charging-spots, POST /api/charging-spots/{id}/reserve, PUT /api/charging-piles/{id}/status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charging_piles保存功率、故障和状态，parking_spots保存车位类型和占用状态。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车主查看充电车位并预约，管理员维护充电桩状态；故障或普通车辆占用时生成告警。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available、reserved、charging、fault、occupied_abnormal。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故障充电桩不可预约，燃油车占用充电车位时进入异常占用告警。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测试用例需覆盖正常流程、异常输入、权限拦截、状态变化、数据库记录和页面提示；该模块优先级为P2，应在第4周编码计划中按优先级拆分。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10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充电车位智能管理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10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数据一致性：M10涉及的数据对象为charging_piles, parking_spot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M10页面根据角色显示不同按钮，禁止无权限操作直接出现在可提交状态。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故障充电桩不可预约，燃油车占用充电车位时进入异常占用告警。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TC-M10-01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TC-M10-02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TC-M10-03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TC-M10-04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TC-M10-05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故障充电桩不可预约，燃油车占用充电车位时进入异常占用告警。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2.2.2.3.11 M11 违停自动抓拍与取证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M11属于P2优先级模块。模块目标是：模拟违停抓拍、证据归档和审核处理。该模块与数据对象 violations, review_logs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监管人员、停车场管理员是该模块的主要使用者；前端通过违停证据列表、证据详情、审核处理页、统计页承载业务操作；后端由ViolationService负责模拟抓拍、证据归档、审核状态流转和监管汇总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系统生成模拟违停证据，管理员或监管人员复核，通过后进入监管统计，驳回则保留记录。状态口径为pending_review、approved、rejected、archiv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监管人员、停车场管理员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违停证据列表、证据详情、审核处理页、统计页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ViolationService负责模拟抓拍、证据归档、审核状态流转和监管汇总。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/api/violations, GET /api/violations, GET /api/violations/{id}, PUT /api/violations/{id}/review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violations保存车牌、位置、证据URL、违停时间和审核状态，review_logs保存复核意见。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系统生成模拟违停证据，管理员或监管人员复核，通过后进入监管统计，驳回则保留记录。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pending_review、approved、rejected、archived。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证据缺失、车牌冲突或位置不明确时不得通过审核，只能进入人工补充。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测试用例需覆盖正常流程、异常输入、权限拦截、状态变化、数据库记录和页面提示；该模块优先级为P2，应在第4周编码计划中按优先级拆分。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11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违停自动抓拍与取证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11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数据一致性：M11涉及的数据对象为violations, review_log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M11页面根据角色显示不同按钮，禁止无权限操作直接出现在可提交状态。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证据缺失、车牌冲突或位置不明确时不得通过审核，只能进入人工补充。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TC-M11-01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TC-M11-02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TC-M11-03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TC-M11-04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TC-M11-05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证据缺失、车牌冲突或位置不明确时不得通过审核，只能进入人工补充。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2.2.2.3.12 M12 长期停车月卡管理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M12属于P2优先级模块。模块目标是：支持月卡申请、审批、续费和到期提醒。该模块与数据对象 monthly_cards, vehicles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、停车场管理员是该模块的主要使用者；前端通过月卡申请页、审批页、续费页、到期提醒页承载业务操作；后端由MonthlyCardService负责申请校验、审批、续费、到期提醒和临停规则切换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提交月卡申请，管理员审批后生效；系统在到期前提醒续费，过期后按临停规则计费。状态口径为applied、approved、rejected、active、expired、renew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月卡申请页、审批页、续费页、到期提醒页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MonthlyCardService负责申请校验、审批、续费、到期提醒和临停规则切换。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/api/monthly-cards, PUT /api/monthly-cards/{id}/approve, POST /api/monthly-cards/{id}/renew, GET /api/monthly-cards/alerts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monthly_cards保存车牌、适用车场、有效期和审批状态，vehicles保存车辆绑定信息。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车主提交月卡申请，管理员审批后生效；系统在到期前提醒续费，过期后按临停规则计费。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applied、approved、rejected、active、expired、renewed。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车牌不一致、适用车场不匹配或月卡过期时不按月卡放行，并提示按临停规则处理。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测试用例需覆盖正常流程、异常输入、权限拦截、状态变化、数据库记录和页面提示；该模块优先级为P2，应在第4周编码计划中按优先级拆分。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12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长期停车月卡管理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12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数据一致性：M12涉及的数据对象为monthly_cards, vehicle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M12页面根据角色显示不同按钮，禁止无权限操作直接出现在可提交状态。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车牌不一致、适用车场不匹配或月卡过期时不按月卡放行，并提示按临停规则处理。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TC-M12-01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TC-M12-02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TC-M12-03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TC-M12-04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TC-M12-05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车牌不一致、适用车场不匹配或月卡过期时不按月卡放行，并提示按临停规则处理。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2.2.2.3.13 M13 车场运营管理后台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M13属于P0优先级模块。模块目标是：承载车场、车位、订单、设备、价格和统计管理。该模块与数据对象 parking_lots, parking_orders, devices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停车场管理员、运营人员是该模块的主要使用者；前端通过运营概览、车场管理、车位管理、订单管理、收入报表、异常处理页承载业务操作；后端由AdminService聚合车场、车位、订单、设备、收入和异常告警，提供管理端统一入口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管理员进入运营概览后可查看关键指标、处理异常、导出报表，并进入各类资源管理页面。状态口径为normal、warning、processing、resolved、export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停车场管理员、运营人员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运营概览、车场管理、车位管理、订单管理、收入报表、异常处理页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AdminService聚合车场、车位、订单、设备、收入和异常告警，提供管理端统一入口。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/api/admin/dashboard, GET /api/admin/lots, GET /api/admin/orders, GET /api/admin/reports, PUT /api/admin/exceptions/{id}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parking_lots、parking_spots、parking_orders、devices和analytics_snapshots共同支撑运营视图。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管理员进入运营概览后可查看关键指标、处理异常、导出报表，并进入各类资源管理页面。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normal、warning、processing、resolved、exported。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删除、调价、关闭车场等敏感操作必须二次确认并写入操作日志。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13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车场运营管理后台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13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数据一致性：M13涉及的数据对象为parking_lots, parking_orders, device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M13页面根据角色显示不同按钮，禁止无权限操作直接出现在可提交状态。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删除、调价、关闭车场等敏感操作必须二次确认并写入操作日志。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TC-M13-01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TC-M13-02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TC-M13-03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TC-M13-04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TC-M13-05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删除、调价、关闭车场等敏感操作必须二次确认并写入操作日志。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2.2.2.3.14 M14 车主移动端APP/小程序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M14属于P0优先级模块。模块目标是：承载搜索、预约、支付、记录、寻车和优惠入口。该模块与数据对象 users, vehicles, reservations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是该模块的主要使用者；前端通过车主首页、搜索页、车场详情、预约页、支付页、停车记录、个人中心承载业务操作；后端由UserPortalService聚合车主端入口，调用车场、预约、订单、寻车和营销服务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从首页进入搜索、预约、支付、寻车和优惠使用，所有关键状态通过卡片和标签明确展示。状态口径为guest、logged_in、has_reservation、parking、pending_pay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车主首页、搜索页、车场详情、预约页、支付页、停车记录、个人中心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UserPortalService聚合车主端入口，调用车场、预约、订单、寻车和营销服务。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/api/user/home, GET /api/user/profile, GET /api/user/records, GET /api/user/coupons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users、vehicles、reservations、parking_orders和coupons共同组成车主端数据视图。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车主从首页进入搜索、预约、支付、寻车和优惠使用，所有关键状态通过卡片和标签明确展示。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guest、logged_in、has_reservation、parking、pending_pay。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登录失效、预约超时、支付失败和数据延迟均通过页面顶部提示和按钮状态反馈。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测试用例需覆盖正常流程、异常输入、权限拦截、状态变化、数据库记录和页面提示；该模块优先级为P0，应在第4周编码计划中按优先级拆分。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14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车主移动端APP/小程序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14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数据一致性：M14涉及的数据对象为users, vehicles, reservation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M14页面根据角色显示不同按钮，禁止无权限操作直接出现在可提交状态。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登录失效、预约超时、支付失败和数据延迟均通过页面顶部提示和按钮状态反馈。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TC-M14-01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TC-M14-02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TC-M14-03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TC-M14-04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TC-M14-05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登录失效、预约超时、支付失败和数据延迟均通过页面顶部提示和按钮状态反馈。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2.2.2.3.15 M15 反向寻车导航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M15属于P1优先级模块。模块目标是：按车牌/订单定位车辆，生成楼层和路线指引。该模块与数据对象 parking_orders, parking_spots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车主、停车场管理员是该模块的主要使用者；前端通过反向寻车入口、车辆位置详情、楼层/区域指引、寻车记录页承载业务操作；后端由FindCarService根据进行中订单、车位区域和楼层信息生成可读路线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车主输入车牌或选择进行中订单，系统返回车辆所在楼层、区域、车位号和文字路线。状态口径为located、not_found、manual_help_requir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反向寻车入口、车辆位置详情、楼层/区域指引、寻车记录页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FindCarService根据进行中订单、车位区域和楼层信息生成可读路线。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/api/find-car, GET /api/records/{id}/location, POST /api/find-car/manual-help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parking_orders提供进行中停车记录，parking_spots提供楼层、区域和车位编号。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车主输入车牌或选择进行中订单，系统返回车辆所在楼层、区域、车位号和文字路线。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located、not_found、manual_help_required。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定位信息不足时提示联系管理员或进入人工问询，不返回虚假路线。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15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反向寻车导航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15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数据一致性：M15涉及的数据对象为parking_orders, parking_spot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M15页面根据角色显示不同按钮，禁止无权限操作直接出现在可提交状态。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定位信息不足时提示联系管理员或进入人工问询，不返回虚假路线。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TC-M15-01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TC-M15-02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TC-M15-03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TC-M15-04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TC-M15-05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定位信息不足时提示联系管理员或进入人工问询，不返回虚假路线。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2.2.2.3.16 M16 设备运维管理平台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M16属于P2优先级模块。模块目标是：管理摄像头、道闸、诱导屏、充电桩和告警。该模块与数据对象 devices, maintenance_logs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设备运维人员、停车场管理员是该模块的主要使用者；前端通过设备台账、故障告警、维护记录、设备详情页承载业务操作；后端由DeviceService负责设备在线状态、故障等级、维护记录和心跳时间更新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系统展示摄像头、道闸、诱导屏、充电桩等设备状态，运维人员处理告警并记录维护结果。状态口径为online、offline、fault、maintenance、resolv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设备运维人员、停车场管理员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设备台账、故障告警、维护记录、设备详情页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DeviceService负责设备在线状态、故障等级、维护记录和心跳时间更新。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/api/devices, PUT /api/devices/{id}/status, POST /api/devices/{id}/maintenance, GET /api/devices/alerts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devices保存设备类型、位置、状态和心跳时间，maintenance_logs保存处理过程。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系统展示摄像头、道闸、诱导屏、充电桩等设备状态，运维人员处理告警并记录维护结果。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online、offline、fault、maintenance、resolved。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设备离线影响核心业务时，系统生成告警并触发降级策略，例如保留最近识别结果或禁止诱导发布。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测试用例需覆盖正常流程、异常输入、权限拦截、状态变化、数据库记录和页面提示；该模块优先级为P2，应在第4周编码计划中按优先级拆分。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16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设备运维管理平台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16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数据一致性：M16涉及的数据对象为devices, maintenance_log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M16页面根据角色显示不同按钮，禁止无权限操作直接出现在可提交状态。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设备离线影响核心业务时，系统生成告警并触发降级策略，例如保留最近识别结果或禁止诱导发布。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TC-M16-01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TC-M16-02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TC-M16-03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TC-M16-04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TC-M16-05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设备离线影响核心业务时，系统生成告警并触发降级策略，例如保留最近识别结果或禁止诱导发布。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2.2.2.3.17 M17 城市停车监管平台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M17属于P1优先级模块。模块目标是：展示城市停车态势、违停、收费和政策评估。该模块与数据对象 analytics_snapshots, violations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交管监管人员、城市管理人员是该模块的主要使用者；前端通过监管大屏、区域供需分析、违停治理、收费趋势、政策评估页承载业务操作；后端由RegulationService聚合多车场统计、区域饱和度、违停趋势和政策效果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监管端读取脱敏后的汇总数据，按区域、时间和指标展示停车供需、违停和收费趋势。状态口径为normal、high_saturation、violation_risk、data_delay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交管监管人员、城市管理人员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监管大屏、区域供需分析、违停治理、收费趋势、政策评估页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RegulationService聚合多车场统计、区域饱和度、违停趋势和政策效果。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/api/regulation/dashboard, GET /api/regulation/regions, GET /api/regulation/violations, GET /api/regulation/policy-effect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analytics_snapshots、parking_lots、parking_orders和violations提供监管汇总数据。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监管端读取脱敏后的汇总数据，按区域、时间和指标展示停车供需、违停和收费趋势。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normal、high_saturation、violation_risk、data_delay。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监管请求涉及个人明细时执行脱敏，数据延迟时标注更新时间和统计口径。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测试用例需覆盖正常流程、异常输入、权限拦截、状态变化、数据库记录和页面提示；该模块优先级为P1，应在第4周编码计划中按优先级拆分。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17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城市停车监管平台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17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数据一致性：M17涉及的数据对象为analytics_snapshots, violation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M17页面根据角色显示不同按钮，禁止无权限操作直接出现在可提交状态。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监管请求涉及个人明细时执行脱敏，数据延迟时标注更新时间和统计口径。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TC-M17-01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TC-M17-02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TC-M17-03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TC-M17-04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TC-M17-05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监管请求涉及个人明细时执行脱敏，数据延迟时标注更新时间和统计口径。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2.2.2.3.18 M18 商圈停车联合营销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M18属于P2优先级模块。模块目标是：配置优惠活动、停车券核销和效果统计。该模块与数据对象 marketing_campaigns, coupons 直接相关，并通过统一接口返回格式与车主端、管理端或监管端页面联动。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边界：商圈运营人员、车主、停车场管理员是该模块的主要使用者；前端通过营销活动配置页、停车券列表、核销页、活动效果统计页承载业务操作；后端由MarketingService负责活动规则、停车券发放、核销和效果统计。模块内部只处理本模块业务状态，不把登录、通用表格、图表渲染等支撑能力误列为额外一级模块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业务流程：运营人员配置活动，车主领取或使用停车券，出场支付时按规则抵扣并生成核销记录。状态口径为draft、active、paused、expired、redeemed。。接口层负责身份校验、参数校验和错误码返回，服务层负责业务规则与状态流转，数据访问层负责事务提交和一致性保护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设计项</w:t>
            </w:r>
          </w:p>
        </w:tc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详细说明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使用角色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商圈运营人员、车主、停车场管理员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页面/交互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营销活动配置页、停车券列表、核销页、活动效果统计页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后端服务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MarketingService负责活动规则、停车券发放、核销和效果统计。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主要接口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/api/campaigns, GET /api/campaigns, POST /api/coupons/redeem, GET /api/campaigns/{id}/stats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数据对象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marketing_campaigns保存活动规则，coupons保存停车券状态，parking_orders关联核销订单。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主流程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运营人员配置活动，车主领取或使用停车券，出场支付时按规则抵扣并生成核销记录。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状态流转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draft、active、paused、expired、redeemed。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优惠券过期、重复核销或不满足活动条件时拒绝抵扣并提示原因。</w:t>
            </w:r>
          </w:p>
        </w:tc>
      </w:tr>
      <w:tr>
        <w:tc>
          <w:tcPr>
            <w:tcW w:type="dxa" w:w="41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验收关注</w:t>
            </w:r>
          </w:p>
        </w:tc>
        <w:tc>
          <w:tcPr>
            <w:tcW w:type="dxa" w:w="415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测试用例需覆盖正常流程、异常输入、权限拦截、状态变化、数据库记录和页面提示；该模块优先级为P2，应在第4周编码计划中按优先级拆分。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现补充：M18在演示阶段应准备至少3组正常数据、1组边界数据和1组异常数据。页面需要展示当前状态和最近更新时间；接口需要返回可读msg；数据库记录需要保留创建时间、更新时间和处理人，便于日报、周报和测试记录中追踪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页面细化：商圈停车联合营销的页面不只展示静态信息，还需要体现查询条件、当前状态、操作入口和异常反馈。列表型页面应包含关键字搜索、状态筛选、分页、详情入口和刷新时间；表单型页面应包含必填校验、提交确认、取消返回和提交结果提示；审核型页面应保留审核意见、处理人和处理时间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细化：M18相关接口入参应包含业务对象ID、当前用户身份、分页/筛选参数和必要的状态字段；出参应包含业务数据、状态标签、更新时间和错误提示。对修改类接口，后端需在服务层再次读取数据库当前状态，避免前端缓存状态导致误操作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数据一致性：M18涉及的数据对象为marketing_campaigns, coupons。设计时要求页面状态、接口返回和数据库记录三者一致；当业务状态发生变化时，服务层必须先完成状态校验，再写入数据表，最后返回统一响应。对于影响预约、订单、支付、设备和监管统计的操作，需要写入操作日志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扩展设计点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设计要求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落地说明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页面控件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搜索、筛选、详情、提交、取消、刷新、状态标签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M18页面根据角色显示不同按钮，禁止无权限操作直接出现在可提交状态。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接口入参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业务ID、用户身份、筛选条件、目标状态、备注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修改类接口必须携带目标对象ID，批量操作需传入ID列表并逐项返回结果。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接口出参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code、msg、data、状态、更新时间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错误时data可返回错误字段、冲突对象或建议下一步操作。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数据库写入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状态字段、时间字段、操作人、备注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关键状态变化必须留痕，避免演示和测试时无法解释数据来源。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权限控制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车主、管理员、监管人员按角色访问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车主只能访问本人数据，管理员访问所属车场，监管端访问脱敏汇总数据。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异常反馈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前端可读提示 + 后端错误码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优惠券过期、重复核销或不满足活动条件时拒绝抵扣并提示原因。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测试编号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测试场景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预期结果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TC-M18-01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正常查询/打开页面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页面加载成功，列表或详情数据与数据库模拟数据一致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TC-M18-02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正常新增/提交/发布/确认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接口返回code=0，数据库新增记录或状态正确变化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TC-M18-03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异常输入或缺少必填字段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接口返回400，前端展示字段级提示，不写入错误数据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TC-M18-04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权限不足访问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接口返回401或403，前端提示登录或无权操作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TC-M18-05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优惠券过期、重复核销或不满足活动条件时拒绝抵扣并提示原因。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系统保留可追踪记录，页面提示清晰，核心状态不被错误覆盖</w:t>
            </w:r>
          </w:p>
        </w:tc>
      </w:tr>
    </w:tbl>
    <w:p/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2.2.3 接口描述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接口统一采用HTTP/1.1 + RESTful JSON，统一响应格式为 {code, msg, data}。code=0表示成功，400表示参数错误，401表示未登录，403表示无权限，404表示资源不存在，500表示服务端异常。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接口组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方法与路径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关联模块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停车资源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/api/lots/search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按位置、区域、价格、空位查询停车资源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M2/M3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/api/reservations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创建预约并锁定车位15分钟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PUT /api/reservations/{id}/confirm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车辆到场后确认预约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M5/M6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车牌事件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/api/license-plate/events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模拟入出场车牌识别事件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/api/payments/mock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模拟无感支付并更新订单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/api/guide-screens/publish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生成并发布诱导内容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/api/pricing-rules/evaluate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按规则计算价格系数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监管态势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/api/regulation/dashboard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查询城市停车监管汇总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PUT /api/devices/{id}/status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更新设备状态和告警处理结果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营销核销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/api/coupons/redeem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核销商圈停车优惠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</w:tr>
    </w:tbl>
    <w:p/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3 数据结构/数据库设计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3.1 概念模型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核心概念模型围绕用户、车辆、停车场、车位、预约、订单、设备、违停证据、定价规则、营销活动和统计快照展开。用户与车辆、预约、订单存在一对多关系；停车场与车位、设备、订单存在一对多关系；预约确认后生成订单；订单、违停、定价和营销数据进入统计快照供运营和监管使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图3-1 核心实体关系图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3.2 数据库表设计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表名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关键字段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用户与角色权限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username, password_hash, phone, role, created_at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vehicles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车牌与车辆信息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plate_number, vehicle_type, default_flag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停车场基础信息和接入状态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name, address, region, total_spots, rate_per_hour,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parking_spots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车位状态、类型和位置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spot_number, floor, zone, status, spot_type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预约锁定、确认、取消和过期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spot_id, status, expire_at, confirm_at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入出场订单、计费和支付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spot_id, plate_number, entry_time, exit_time, amount,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shared_spots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共享车位发布与收益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owner_id, spot_id, available_start, available_end, price,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charging_piles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充电桩和充电车位状态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spot_id, power_kw, status, fault_type, last_update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违停证据与审核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plate_number, location, evidence_url, review_status, violation_at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monthly_cards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月卡申请、审批和续费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plate_number, lot_id, valid_to,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设备台账、在线状态和运维日志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device_type, status, firmware_version, last_heartbeat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guide_screens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诱导屏位置和发布内容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location, related_lot_id, content, publish_status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pricing_rules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动态定价规则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period, factor, reason, enabled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marketing_campaigns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商圈营销活动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name, merchant, rule_desc, valid_to,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analytics_snapshots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统计指标快照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metric_type, metric_value, snapshot_at</w:t>
            </w:r>
          </w:p>
        </w:tc>
      </w:tr>
    </w:tbl>
    <w:p/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3.2.1 核心数据表字段展开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以下字段设计用于支撑18个一级模块的编码落地。正式编码时可在不改变业务含义的前提下补充索引、默认值和审计字段，但不得删除影响需求追踪的关键字段。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users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用户唯一编号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username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VARCHAR(50)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唯一、非空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登录用户名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password_hash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VARCHAR(255)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bcrypt密码哈希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phone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手机号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role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user/admin/owner/gov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created_at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默认当前时间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注册时间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users表的设计重点是保证业务状态可追踪。新增或更新记录时应写入更新时间，关键状态变化由服务层统一处理，避免页面直接拼接SQL造成状态不一致。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parking_lots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name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VARCHAR(100)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唯一、非空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车场名称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address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VARCHAR(255)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详细地址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region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VARCHAR(50)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行政区域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total_spots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总车位数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rate_per_hour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DECIMAL(10,2)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基础费率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默认active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营业/离线/维护状态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parking_lots表的设计重点是保证业务状态可追踪。新增或更新记录时应写入更新时间，关键状态变化由服务层统一处理，避免页面直接拼接SQL造成状态不一致。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parking_spots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lot_id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所属车场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spot_number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floor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楼层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zone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区域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free/locked/occupied/disabled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spot_type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默认normal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普通/充电/月卡/无障碍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parking_spots表的设计重点是保证业务状态可追踪。新增或更新记录时应写入更新时间，关键状态变化由服务层统一处理，避免页面直接拼接SQL造成状态不一致。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reservations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预约用户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spot_id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预约车位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created/confirmed/cancelled/expired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expire_at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锁定过期时间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confirm_at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到场确认时间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reservations表的设计重点是保证业务状态可追踪。新增或更新记录时应写入更新时间，关键状态变化由服务层统一处理，避免页面直接拼接SQL造成状态不一致。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parking_orders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订单编号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用户编号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spot_id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停车车位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plate_number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entry_time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入场时间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exit_time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出场时间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amount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DECIMAL(10,2)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应付金额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parking/pending_pay/paid/exception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parking_orders表的设计重点是保证业务状态可追踪。新增或更新记录时应写入更新时间，关键状态变化由服务层统一处理，避免页面直接拼接SQL造成状态不一致。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3.2.1 devices 表字段说明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设备编号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lot_id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所属车场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device_type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VARCHAR(30)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camera/gate/screen/charger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online/offline/fault/maintenance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last_heartbeat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最近心跳时间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remark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TEXT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故障或维护备注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devices表的设计重点是保证业务状态可追踪。新增或更新记录时应写入更新时间，关键状态变化由服务层统一处理，避免页面直接拼接SQL造成状态不一致。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3.3 存储过程设计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实训阶段使用SQLite，不设计数据库存储过程。预约超时释放、统计聚合和价格计算由后端服务层定时任务或接口逻辑实现。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3.4 视图设计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视图名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字段口径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v_lot_realtime_status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停车一张图实时展示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车场、区域、总车位、空余车位、价格、更新时间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v_order_revenue_daily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运营收入日报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日期、车场、订单数、收入、平均停车时长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v_regulation_summary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监管汇总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区域、车场数、总车位、占用率、违停数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3.5 触发器设计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不使用数据库触发器。订单完成、预约取消、支付成功等状态变更由服务层显式更新，并写入操作日志，避免演示环境中隐式逻辑难以追踪。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3.6 函数设计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主要函数包括calculate_fee(order, pricing_rule)、release_expired_reservations(now)、aggregate_lot_status(lot_id)、evaluate_pricing_factor(lot_id, time_range)和mask_regulation_data(records)。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3.7 基础数据配置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基础数据包括示例停车场、车位、车辆、管理员账号、设备、诱导屏、价格规则、营销活动和历史订单。初始化脚本应保证车主端、运营端和监管端都有可演示数据。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4 界面设计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4.1 车主端核心界面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首页/搜索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目的地搜索框、附近车场卡片、空位/价格标签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输入目的地后查询停车一张图并按距离与空位排序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车场详情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车场信息、车位网格、预约按钮、收费规则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选择可预约车位后进入预约确认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预约车位、倒计时、取消/到场确认按钮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锁定15分钟，超时自动释放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出场支付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订单金额、停车时长、模拟支付按钮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支付成功后完成订单并释放车位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反向寻车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车牌输入、楼层区域、路线文本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按进行中订单生成寻车指引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4.2 管理端核心界面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运营概览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车位利用率、收入、订单、异常卡片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查看车场经营状态并进入明细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数据接入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停车场接入配置、同步状态、离线告警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维护路外停车场模拟接口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诱导发布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诱导屏列表、发布内容、发布状态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生成并模拟发布诱导信息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价格规则表、时段系数、发布记录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配置并审计价格策略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设备列表、故障等级、处理记录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处理摄像头、道闸、诱导屏和充电桩状态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4.3 监管端核心界面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监管大屏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区域占用率、供需趋势、违停数量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展示城市级汇总数据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违停审核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证据图片、车牌、位置、复核状态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审核模拟违停取证记录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政策评估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价格、饱和度、投诉/违停趋势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辅助评估停车政策效果</w:t>
            </w:r>
          </w:p>
        </w:tc>
      </w:tr>
    </w:tbl>
    <w:p/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5 出错处理设计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5.1 出错处理目标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出错处理设计用于保证系统在参数错误、权限不足、数据冲突、设备离线、模拟接口失败和支付异常等情况下仍能给出明确反馈，并尽量保持核心业务状态一致。系统采用“前端提示 + 后端校验 + 数据状态保护 + 操作日志记录”的组合策略，使异常可发现、可定位、可恢复、可复盘。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系统的出错处理范围覆盖车主端、管理端、监管端、后端服务、数据库访问和外部模拟能力。车主端重点保证用户知道下一步如何处理；管理端重点保证异常可进入人工处理；后端重点保证接口返回统一、状态不被错误写入；数据库重点保证预约、订单、车位和支付状态不会相互矛盾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5.2 错误分类与处理策略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错误场景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触发条件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处理策略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用户/管理员提示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输入参数错误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必填字段为空、格式不合法、分页参数越界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后端Pydantic校验失败后返回400；前端表单同步提示错误字段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请检查输入内容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未登录或权限不足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Session失效、普通用户访问管理接口、监管数据越权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接口返回401/403，前端跳转登录或提示无权限；管理操作不落库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请先登录/无权执行该操作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预约车位已被占用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创建预约前车位状态由free变为locked/occupied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事务内重新校验车位状态，不创建预约；刷新车位列表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车位已不可预约，请重新选择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预约超时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锁定时间超过15分钟且未确认到场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定时任务释放车位并更新预约状态为expired；保留预约记录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预约已超时，车位已释放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模拟支付失败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支付适配器返回失败、金额异常、订单已关闭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订单保持pending_pay状态，允许重试或人工处理；不释放车位直到流程确认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支付失败，请重试或联系管理员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设备/诱导屏离线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设备心跳超时、发布诱导内容失败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保留最近一次有效状态并生成告警；发布失败时不覆盖原内容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设备离线，已记录告警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外部模拟接口异常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AI/GIS/支付/硬件模拟服务不可用或返回空数据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降级使用缓存/初始数据，记录日志；页面标注更新时间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数据暂不可用，展示最近一次结果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监管数据敏感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监管端请求包含个人手机号、完整车牌或用户明细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汇总脱敏后展示，不暴露个人手机号和完整车牌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仅展示汇总统计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5.3 统一错误码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所有接口返回结构统一为 {code, msg, data}。成功时code=0，失败时code使用固定枚举，msg给出可读提示，data可携带错误字段、重试建议或异常追踪编号。前端Axios拦截器根据错误码统一处理登录失效、权限不足、参数错误和服务异常。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错误码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适用场景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前端处理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成功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接口正常完成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更新页面状态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400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参数错误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表单字段为空、格式错误、范围越界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展示字段级提示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401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未登录/登录失效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Session不存在或过期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跳转登录页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403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无权限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角色不匹配、越权访问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提示无权操作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404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资源不存在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车位、订单、预约、设备不存在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提示重新刷新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409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状态冲突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车位被占、预约已取消、订单已支付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刷新业务状态并提示重试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429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操作过于频繁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短时间重复预约、重复支付、重复提交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限制按钮并提示稍后再试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500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服务端异常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数据库异常、服务逻辑异常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展示通用错误并记录追踪号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503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外部模拟服务不可用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AI/GIS/支付/设备模拟接口失败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展示缓存数据或降级提示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5.4 关键业务异常流程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业务流程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异常点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处理步骤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状态结果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车主预约车位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车位被并发预约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重新读取车位状态；若非free则拒绝创建预约；返回409；前端刷新车位网格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无新预约，车位状态以数据库为准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预约到场确认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预约已超时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校验expire_at；超时则更新预约为expired并释放车位；提示重新预约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reservation=expired, spot=free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车牌入场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车牌无法识别或无预约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生成待人工确认记录；允许管理员补录车牌或绑定订单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order=pending_confirm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出场计费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订单缺少入场时间或费率异常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拒绝结算；写入异常日志；管理员修正订单数据后重试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order=exception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模拟支付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支付失败或重复支付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失败保持待支付；重复支付返回409并读取已有支付结果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order=pending_pay或paid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诱导信息发布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诱导屏离线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不覆盖上一条有效发布内容；生成设备告警；记录发布时间和失败原因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publish_log=failed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违停取证审核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证据不足或车牌冲突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进入人工复核状态；不进入监管确认列表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violation=pending_review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5.5 日志、告警与恢复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日志策略：关键操作记录操作者、时间、接口路径、对象ID、原状态、新状态、处理结果和错误码；异常日志记录请求参数摘要、异常类型、追踪编号和处理方式，便于测试阶段复盘。日志不保存明文密码、完整支付信息和不必要的个人敏感信息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告警策略：设备离线、接口同步失败、支付失败、预约状态冲突、统计数据异常和诱导发布失败均进入告警列表。告警等级分为提示、重要、严重三级；管理端支持筛选、处理、备注和关闭。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恢复策略：系统优先通过重新读取数据库状态恢复页面；对外部模拟能力失败采用最近一次有效数据或初始化数据降级；对预约、订单、支付等核心状态冲突，不做静默覆盖，由服务层返回错误码并要求用户或管理员重新确认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5.6 设计评审与发布结论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2026年6月5日由系统架构师程晓洋组织全员设计评审，程子浩以RA/QA视角检查需求到设计的追踪关系，丁梓钊以PM/前端视角检查页面、交互和异常提示是否满足用户场景。评审重点围绕HLD完整性、出错处理、接口一致性、数据库状态一致性和第4周编码可执行性展开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编号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评审项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结论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处理结果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DR-07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HLD是否覆盖6月3日和6月4日任务要求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上下文图、架构图、活动图、时序图、接口、ER/表结构和界面设计已整合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DR-08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第5章出错处理是否支撑核心业务闭环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补充错误分类、错误码、预约/支付/设备等关键异常流程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DR-09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SRS 18个一级模块是否可追踪到HLD模块、接口和数据表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模块分解表、接口清单和数据库表设计保持一致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DR-10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第4周编码是否具备明确输入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已明确前后端分工、P0优先级和异常处理约束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评审结论：HLD V1.0通过小组设计评审，可作为第4周详细设计、编码实现和测试用例编写依据；系统设计提交至QQ群“04_系统设计”目录。</w:t>
      </w:r>
    </w:p>
    <w:sectPr w:rsidR="005A68AE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046ED" w14:textId="77777777" w:rsidR="005A68AE" w:rsidRDefault="005A68AE">
      <w:r>
        <w:separator/>
      </w:r>
    </w:p>
  </w:endnote>
  <w:endnote w:type="continuationSeparator" w:id="0">
    <w:p w14:paraId="7DB04AA5" w14:textId="77777777" w:rsidR="005A68AE" w:rsidRDefault="005A6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90FEE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</w:t>
    </w:r>
    <w:r>
      <w:rPr>
        <w:rFonts w:hint="eastAsia"/>
        <w:b/>
        <w:color w:val="7F7F7F"/>
      </w:rPr>
      <w:t xml:space="preserve">    </w:t>
    </w:r>
    <w:r>
      <w:rPr>
        <w:rFonts w:hint="eastAsia"/>
        <w:b/>
        <w:color w:val="7F7F7F"/>
      </w:rPr>
      <w:t xml:space="preserve">  </w:t>
    </w:r>
    <w:r>
      <w:rPr>
        <w:rFonts w:hint="eastAsia"/>
        <w:b/>
        <w:color w:val="7F7F7F"/>
      </w:rPr>
      <w:t xml:space="preserve">                 </w:t>
    </w:r>
    <w:r>
      <w:rPr>
        <w:rFonts w:hint="eastAsia"/>
        <w:b/>
        <w:color w:val="7F7F7F"/>
      </w:rPr>
      <w:t xml:space="preserve">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0EA4D942" w14:textId="77777777" w:rsidR="005A68AE" w:rsidRDefault="005A68A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D498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     </w:t>
    </w:r>
    <w:r>
      <w:rPr>
        <w:rFonts w:hint="eastAsia"/>
        <w:b/>
        <w:color w:val="7F7F7F"/>
      </w:rPr>
      <w:t xml:space="preserve">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DC0D4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</w:t>
    </w:r>
    <w:r>
      <w:rPr>
        <w:rFonts w:hint="eastAsia"/>
        <w:b/>
        <w:color w:val="7F7F7F"/>
      </w:rPr>
      <w:t xml:space="preserve">    </w:t>
    </w:r>
    <w:r>
      <w:rPr>
        <w:rFonts w:hint="eastAsia"/>
        <w:b/>
        <w:color w:val="7F7F7F"/>
      </w:rPr>
      <w:t xml:space="preserve">  </w:t>
    </w:r>
    <w:r>
      <w:rPr>
        <w:rFonts w:hint="eastAsia"/>
        <w:b/>
        <w:color w:val="7F7F7F"/>
      </w:rPr>
      <w:t xml:space="preserve">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5DBB5B8E" w14:textId="77777777" w:rsidR="005A68AE" w:rsidRDefault="005A68A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851C8" w14:textId="77777777" w:rsidR="005A68AE" w:rsidRDefault="005A68AE">
      <w:r>
        <w:separator/>
      </w:r>
    </w:p>
  </w:footnote>
  <w:footnote w:type="continuationSeparator" w:id="0">
    <w:p w14:paraId="476BED7E" w14:textId="77777777" w:rsidR="005A68AE" w:rsidRDefault="005A68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4EA01" w14:textId="77777777" w:rsidR="005A68AE" w:rsidRDefault="005A68AE">
    <w:pPr>
      <w:pStyle w:val="a6"/>
      <w:pBdr>
        <w:bottom w:val="single" w:sz="4" w:space="1" w:color="auto"/>
      </w:pBdr>
      <w:tabs>
        <w:tab w:val="clear" w:pos="4153"/>
        <w:tab w:val="clear" w:pos="8306"/>
      </w:tabs>
      <w:jc w:val="left"/>
      <w:rPr>
        <w:sz w:val="24"/>
        <w:szCs w:val="24"/>
      </w:rPr>
    </w:pPr>
    <w:r>
      <w:rPr>
        <w:rFonts w:hint="eastAsia"/>
        <w:sz w:val="24"/>
        <w:szCs w:val="24"/>
      </w:rPr>
      <w:t>武汉学链科技有限公司</w:t>
    </w:r>
    <w:r>
      <w:rPr>
        <w:rFonts w:hint="eastAsia"/>
        <w:sz w:val="24"/>
        <w:szCs w:val="24"/>
      </w:rPr>
      <w:t xml:space="preserve">                                      </w:t>
    </w:r>
    <w:r>
      <w:pict w14:anchorId="6E5465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7" o:spid="_x0000_i1026" type="#_x0000_t75" style="width:51.5pt;height:24.5pt">
          <v:imagedata r:id="rId1" o:title="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5B32C" w14:textId="77777777" w:rsidR="005A68AE" w:rsidRDefault="005A68AE">
    <w:pPr>
      <w:pStyle w:val="a6"/>
      <w:pBdr>
        <w:bottom w:val="single" w:sz="4" w:space="1" w:color="auto"/>
      </w:pBdr>
      <w:jc w:val="left"/>
    </w:pPr>
    <w:r>
      <w:rPr>
        <w:rFonts w:hint="eastAsia"/>
        <w:sz w:val="24"/>
        <w:szCs w:val="24"/>
      </w:rPr>
      <w:t>武汉学链科技有限公司</w:t>
    </w:r>
    <w:r>
      <w:rPr>
        <w:rFonts w:hint="eastAsia"/>
        <w:sz w:val="24"/>
        <w:szCs w:val="24"/>
      </w:rPr>
      <w:t xml:space="preserve"> </w:t>
    </w:r>
    <w:r>
      <w:rPr>
        <w:rFonts w:hint="eastAsia"/>
      </w:rPr>
      <w:t xml:space="preserve">                                                            </w:t>
    </w:r>
    <w:r>
      <w:pict w14:anchorId="36B4B8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i1025" type="#_x0000_t75" style="width:51.5pt;height:24.5pt">
          <v:imagedata r:id="rId1" o:title=""/>
        </v:shape>
      </w:pict>
    </w:r>
    <w:r>
      <w:rPr>
        <w:rFonts w:hint="eastAsia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DZhYjI3NzQzODFmNDVjZjlmNTRkMWE3YTI3NzI1OTkifQ=="/>
  </w:docVars>
  <w:rsids>
    <w:rsidRoot w:val="00172A27"/>
    <w:rsid w:val="005A68AE"/>
    <w:rsid w:val="00FA6FC1"/>
    <w:rsid w:val="012A0C1E"/>
    <w:rsid w:val="0EC60F95"/>
    <w:rsid w:val="18584E7F"/>
    <w:rsid w:val="2D45244D"/>
    <w:rsid w:val="57866ED1"/>
    <w:rsid w:val="5A897717"/>
    <w:rsid w:val="635A2B8A"/>
    <w:rsid w:val="6686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07BF7F6"/>
  <w15:chartTrackingRefBased/>
  <w15:docId w15:val="{F038FFE0-75B0-42F3-8A15-82366AB9A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semiHidden="1" w:uiPriority="99" w:unhideWhenUsed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link w:val="CharCharChar1CharCharCharCharCharCharChar"/>
    <w:semiHidden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Body Text"/>
    <w:basedOn w:val="a"/>
    <w:pPr>
      <w:spacing w:after="120"/>
    </w:pPr>
  </w:style>
  <w:style w:type="paragraph" w:styleId="TOC5">
    <w:name w:val="toc 5"/>
    <w:basedOn w:val="a"/>
    <w:next w:val="a"/>
    <w:semiHidden/>
    <w:pPr>
      <w:ind w:leftChars="800" w:left="1680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6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</w:style>
  <w:style w:type="paragraph" w:styleId="TOC4">
    <w:name w:val="toc 4"/>
    <w:basedOn w:val="a"/>
    <w:next w:val="a"/>
    <w:semiHidden/>
    <w:pPr>
      <w:ind w:leftChars="600" w:left="1260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Arial" w:hAnsi="Arial" w:cs="Arial"/>
      <w:sz w:val="24"/>
      <w:szCs w:val="24"/>
    </w:rPr>
  </w:style>
  <w:style w:type="paragraph" w:styleId="a7">
    <w:name w:val="Body Text First Indent"/>
    <w:basedOn w:val="a"/>
    <w:pPr>
      <w:spacing w:line="360" w:lineRule="auto"/>
      <w:ind w:firstLineChars="200" w:firstLine="420"/>
      <w:jc w:val="both"/>
    </w:pPr>
    <w:rPr>
      <w:rFonts w:ascii="Arial" w:hAnsi="Arial"/>
      <w:sz w:val="21"/>
      <w:szCs w:val="21"/>
    </w:rPr>
  </w:style>
  <w:style w:type="paragraph" w:customStyle="1" w:styleId="CharCharChar1CharCharCharCharCharCharChar">
    <w:name w:val=" Char Char Char1 Char Char Char Char Char Char Char"/>
    <w:basedOn w:val="a"/>
    <w:link w:val="a0"/>
    <w:rPr>
      <w:rFonts w:ascii="Tahoma" w:hAnsi="Tahoma"/>
      <w:sz w:val="24"/>
    </w:rPr>
  </w:style>
  <w:style w:type="character" w:styleId="a8">
    <w:name w:val="page number"/>
    <w:basedOn w:val="a0"/>
  </w:style>
  <w:style w:type="character" w:styleId="a9">
    <w:name w:val="Hyperlink"/>
    <w:basedOn w:val="a0"/>
    <w:rPr>
      <w:color w:val="0000FF"/>
      <w:u w:val="single"/>
    </w:rPr>
  </w:style>
  <w:style w:type="character" w:customStyle="1" w:styleId="Char">
    <w:name w:val="表格文本 Char"/>
    <w:basedOn w:val="a0"/>
    <w:link w:val="aa"/>
    <w:rPr>
      <w:rFonts w:ascii="Arial" w:eastAsia="宋体" w:hAnsi="Arial"/>
      <w:sz w:val="21"/>
      <w:szCs w:val="21"/>
      <w:lang w:val="en-US" w:eastAsia="zh-CN" w:bidi="ar-SA"/>
    </w:rPr>
  </w:style>
  <w:style w:type="paragraph" w:customStyle="1" w:styleId="aa">
    <w:name w:val="表格文本"/>
    <w:basedOn w:val="a"/>
    <w:link w:val="Char"/>
    <w:pPr>
      <w:tabs>
        <w:tab w:val="decimal" w:pos="0"/>
      </w:tabs>
    </w:pPr>
    <w:rPr>
      <w:rFonts w:ascii="Arial" w:hAnsi="Arial"/>
      <w:sz w:val="21"/>
      <w:szCs w:val="21"/>
      <w:lang w:val="en-US" w:eastAsia="zh-CN"/>
    </w:rPr>
  </w:style>
  <w:style w:type="character" w:customStyle="1" w:styleId="CharChar">
    <w:name w:val="编写建议 Char Char"/>
    <w:basedOn w:val="a0"/>
    <w:link w:val="Char0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paragraph" w:customStyle="1" w:styleId="Char0">
    <w:name w:val="编写建议 Char"/>
    <w:basedOn w:val="a"/>
    <w:link w:val="CharChar"/>
    <w:pPr>
      <w:keepNext/>
      <w:widowControl/>
      <w:spacing w:line="360" w:lineRule="auto"/>
      <w:ind w:firstLineChars="200" w:firstLine="200"/>
    </w:pPr>
    <w:rPr>
      <w:rFonts w:ascii="Arial" w:hAnsi="Arial" w:cs="Arial"/>
      <w:i/>
      <w:color w:val="0000FF"/>
      <w:sz w:val="21"/>
      <w:szCs w:val="21"/>
    </w:rPr>
  </w:style>
  <w:style w:type="paragraph" w:customStyle="1" w:styleId="ab">
    <w:name w:val="缺省文本"/>
    <w:basedOn w:val="a"/>
    <w:pPr>
      <w:spacing w:line="360" w:lineRule="auto"/>
    </w:pPr>
    <w:rPr>
      <w:rFonts w:ascii="Arial" w:hAnsi="Arial"/>
      <w:sz w:val="21"/>
      <w:szCs w:val="21"/>
    </w:rPr>
  </w:style>
  <w:style w:type="paragraph" w:customStyle="1" w:styleId="ac">
    <w:name w:val="封面文档标题"/>
    <w:basedOn w:val="a"/>
    <w:pPr>
      <w:spacing w:line="360" w:lineRule="auto"/>
      <w:jc w:val="center"/>
    </w:pPr>
    <w:rPr>
      <w:rFonts w:ascii="Arial" w:eastAsia="黑体" w:hAnsi="Arial"/>
      <w:bCs/>
      <w:sz w:val="44"/>
      <w:szCs w:val="44"/>
    </w:rPr>
  </w:style>
  <w:style w:type="paragraph" w:customStyle="1" w:styleId="ad">
    <w:name w:val="宋体 三号 加粗 居中"/>
    <w:basedOn w:val="a"/>
    <w:pPr>
      <w:widowControl/>
      <w:overflowPunct w:val="0"/>
      <w:spacing w:line="0" w:lineRule="atLeast"/>
      <w:jc w:val="center"/>
      <w:textAlignment w:val="baseline"/>
    </w:pPr>
    <w:rPr>
      <w:rFonts w:cs="宋体"/>
      <w:b/>
      <w:bCs/>
      <w:sz w:val="32"/>
    </w:rPr>
  </w:style>
  <w:style w:type="paragraph" w:customStyle="1" w:styleId="ae">
    <w:name w:val="封面表格文本"/>
    <w:basedOn w:val="a"/>
    <w:pPr>
      <w:jc w:val="center"/>
    </w:pPr>
    <w:rPr>
      <w:rFonts w:ascii="Arial" w:hAnsi="Arial"/>
      <w:sz w:val="21"/>
      <w:szCs w:val="21"/>
    </w:rPr>
  </w:style>
  <w:style w:type="paragraph" w:customStyle="1" w:styleId="CharCharCharChar">
    <w:name w:val=" Char Char Char Char"/>
    <w:basedOn w:val="a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1540</Words>
  <Characters>2231</Characters>
  <Application>Microsoft Office Word</Application>
  <DocSecurity>4</DocSecurity>
  <PresentationFormat/>
  <Lines>380</Lines>
  <Paragraphs>207</Paragraphs>
  <Slides>0</Slides>
  <Notes>0</Notes>
  <HiddenSlides>0</HiddenSlides>
  <MMClips>0</MMClips>
  <ScaleCrop>false</ScaleCrop>
  <Manager/>
  <Company>broadengate</Company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Introduction 简介</dc:title>
  <dc:subject/>
  <dc:creator>testing</dc:creator>
  <cp:keywords/>
  <dc:description/>
  <cp:lastModifiedBy>梓钊 丁</cp:lastModifiedBy>
  <cp:revision>2</cp:revision>
  <dcterms:created xsi:type="dcterms:W3CDTF">2026-06-04T06:59:00Z</dcterms:created>
  <dcterms:modified xsi:type="dcterms:W3CDTF">2026-06-04T06:59:00Z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D8E198A11B5B4BF28C1BCD9BF894DEEB_12</vt:lpwstr>
  </property>
</Properties>
</file>