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Ind w:w="0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3229"/>
        <w:gridCol w:w="1980"/>
        <w:gridCol w:w="3075"/>
      </w:tblGrid>
      <w:tr w:rsidR="00000000" w14:paraId="0DA71D53" w14:textId="77777777">
        <w:trPr>
          <w:cantSplit/>
          <w:trHeight w:val="267"/>
          <w:jc w:val="center"/>
        </w:trPr>
        <w:tc>
          <w:tcPr>
            <w:tcW w:w="5209" w:type="dxa"/>
            <w:gridSpan w:val="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AI-driven城市智慧停车管理与诱导系统</w:t>
            </w:r>
          </w:p>
        </w:tc>
        <w:tc>
          <w:tcPr>
            <w:tcW w:w="3075" w:type="dxa"/>
          </w:tcPr>
          <w:p w14:paraId="07316973" w14:textId="77777777" w:rsidR="005A68AE" w:rsidRDefault="005A68AE">
            <w:pPr>
              <w:pStyle w:val="ae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密级</w:t>
            </w:r>
          </w:p>
        </w:tc>
      </w:tr>
      <w:tr w:rsidR="00000000" w14:paraId="6EE85167" w14:textId="77777777">
        <w:trPr>
          <w:cantSplit/>
          <w:trHeight w:val="239"/>
          <w:jc w:val="center"/>
        </w:trPr>
        <w:tc>
          <w:tcPr>
            <w:tcW w:w="5209" w:type="dxa"/>
            <w:gridSpan w:val="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项目编号：SmartPark-19</w:t>
            </w:r>
          </w:p>
        </w:tc>
        <w:tc>
          <w:tcPr>
            <w:tcW w:w="3075" w:type="dxa"/>
          </w:tcPr>
          <w:p w14:paraId="68BE7DAD" w14:textId="77777777" w:rsidR="005A68AE" w:rsidRDefault="005A68AE">
            <w:pPr>
              <w:pStyle w:val="ae"/>
              <w:rPr>
                <w:rFonts w:ascii="宋体" w:hint="eastAsia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仅供收件方查阅</w:t>
            </w:r>
          </w:p>
        </w:tc>
      </w:tr>
      <w:tr w:rsidR="00000000" w14:paraId="0BCDA170" w14:textId="77777777">
        <w:trPr>
          <w:cantSplit/>
          <w:trHeight w:val="631"/>
          <w:jc w:val="center"/>
        </w:trPr>
        <w:tc>
          <w:tcPr>
            <w:tcW w:w="3229" w:type="dxa"/>
            <w:tcBorders>
              <w:bottom w:val="single" w:sz="6" w:space="0" w:color="000000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项目编号</w:t>
            </w:r>
          </w:p>
        </w:tc>
        <w:tc>
          <w:tcPr>
            <w:tcW w:w="1980" w:type="dxa"/>
            <w:tcBorders>
              <w:left w:val="single" w:sz="4" w:space="0" w:color="auto"/>
              <w:bottom w:val="single" w:sz="6" w:space="0" w:color="000000"/>
            </w:tcBorders>
          </w:tcPr>
          <w:p w14:paraId="316D10DC" w14:textId="77777777" w:rsidR="005A68AE" w:rsidRDefault="005A68AE">
            <w:pPr>
              <w:pStyle w:val="ae"/>
              <w:rPr>
                <w:rFonts w:hint="eastAsia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版本</w:t>
            </w:r>
          </w:p>
        </w:tc>
        <w:tc>
          <w:tcPr>
            <w:tcW w:w="3075" w:type="dxa"/>
            <w:tcBorders>
              <w:bottom w:val="single" w:sz="4" w:space="0" w:color="auto"/>
            </w:tcBorders>
            <w:vAlign w:val="center"/>
          </w:tcPr>
          <w:p w14:paraId="402CA548" w14:textId="77777777" w:rsidR="005A68AE" w:rsidRDefault="005A68AE">
            <w:pPr>
              <w:pStyle w:val="ae"/>
              <w:rPr>
                <w:rFonts w:ascii="Times New Roman" w:hAnsi="Times New Roman" w:hint="eastAsia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文档编号</w:t>
            </w:r>
          </w:p>
        </w:tc>
      </w:tr>
      <w:tr w:rsidR="00000000" w14:paraId="4DC93322" w14:textId="77777777">
        <w:trPr>
          <w:cantSplit/>
          <w:trHeight w:val="239"/>
          <w:jc w:val="center"/>
        </w:trPr>
        <w:tc>
          <w:tcPr>
            <w:tcW w:w="3229" w:type="dxa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SmartPark-19</w:t>
            </w:r>
          </w:p>
        </w:tc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w="3075" w:type="dxa"/>
            <w:tcBorders>
              <w:top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SmartPark-SD-HLD-001</w:t>
            </w:r>
          </w:p>
        </w:tc>
      </w:tr>
    </w:tbl>
    <w:p w14:paraId="3ABB8B8C" w14:textId="77777777" w:rsidR="005A68AE" w:rsidRDefault="005A68AE">
      <w:pPr>
        <w:pStyle w:val="ac"/>
        <w:spacing w:line="240" w:lineRule="auto"/>
        <w:jc w:val="both"/>
        <w:rPr>
          <w:rFonts w:ascii="华文细黑" w:eastAsia="华文细黑" w:hint="eastAsia"/>
        </w:rPr>
      </w:pPr>
      <w:bookmarkStart w:id="2" w:name="文档名称"/>
    </w:p>
    <w:p w14:paraId="47E55ECA" w14:textId="77777777" w:rsidR="005A68AE" w:rsidRDefault="005A68AE">
      <w:pPr>
        <w:pStyle w:val="ac"/>
        <w:spacing w:line="240" w:lineRule="auto"/>
        <w:jc w:val="center"/>
        <w:rPr>
          <w:rFonts w:ascii="华文细黑" w:eastAsia="华文细黑" w:hint="eastAsia"/>
        </w:rPr>
      </w:pPr>
      <w:r>
        <w:rPr>
          <w:rFonts w:ascii="Times New Roman" w:hAnsi="Times New Roman" w:eastAsia="黑体"/>
          <w:b/>
          <w:sz w:val="44"/>
        </w:rPr>
        <w:t>AI-driven城市智慧停车管理与诱导系统概要设计说明书</w:t>
      </w:r>
    </w:p>
    <w:p w14:paraId="4572388F" w14:textId="77777777" w:rsidR="005A68AE" w:rsidRDefault="005A68AE">
      <w:pPr>
        <w:rPr>
          <w:rFonts w:hint="eastAsia"/>
        </w:rPr>
      </w:pPr>
    </w:p>
    <w:p w14:paraId="49F0A33C" w14:textId="77777777" w:rsidR="005A68AE" w:rsidRDefault="005A68AE">
      <w:pPr>
        <w:rPr>
          <w:rFonts w:hint="eastAsia"/>
        </w:rPr>
      </w:pPr>
    </w:p>
    <w:p w14:paraId="2FB3141B" w14:textId="77777777" w:rsidR="005A68AE" w:rsidRDefault="005A68AE">
      <w:pPr>
        <w:rPr>
          <w:rFonts w:hint="eastAsia"/>
        </w:rPr>
      </w:pPr>
    </w:p>
    <w:p w14:paraId="04172B73" w14:textId="77777777" w:rsidR="005A68AE" w:rsidRDefault="005A68AE">
      <w:pPr>
        <w:rPr>
          <w:rFonts w:hint="eastAsia"/>
        </w:rPr>
      </w:pPr>
    </w:p>
    <w:p w14:paraId="07EA93E0" w14:textId="77777777" w:rsidR="005A68AE" w:rsidRDefault="005A68AE">
      <w:pPr>
        <w:rPr>
          <w:rFonts w:hint="eastAsia"/>
        </w:rPr>
      </w:pPr>
    </w:p>
    <w:p w14:paraId="4D37BB96" w14:textId="77777777" w:rsidR="005A68AE" w:rsidRDefault="005A68AE">
      <w:pPr>
        <w:rPr>
          <w:rFonts w:hint="eastAsia"/>
        </w:rPr>
      </w:pPr>
    </w:p>
    <w:p w14:paraId="6E2440B5" w14:textId="77777777" w:rsidR="005A68AE" w:rsidRDefault="005A68AE">
      <w:pPr>
        <w:rPr>
          <w:rFonts w:hint="eastAsia"/>
          <w:sz w:val="24"/>
          <w:szCs w:val="24"/>
        </w:rPr>
      </w:pP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38"/>
        <w:gridCol w:w="2880"/>
        <w:gridCol w:w="1291"/>
        <w:gridCol w:w="2273"/>
      </w:tblGrid>
      <w:tr w:rsidR="00000000" w14:paraId="5ABE4B10" w14:textId="77777777">
        <w:trPr>
          <w:jc w:val="center"/>
        </w:trPr>
        <w:tc>
          <w:tcPr>
            <w:tcW w:w="1738" w:type="dxa"/>
          </w:tcPr>
          <w:p w14:paraId="7FD34A13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拟制</w:t>
            </w:r>
          </w:p>
        </w:tc>
        <w:tc>
          <w:tcPr>
            <w:tcW w:w="288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程晓洋（SA）</w:t>
            </w:r>
          </w:p>
        </w:tc>
        <w:tc>
          <w:tcPr>
            <w:tcW w:w="1291" w:type="dxa"/>
          </w:tcPr>
          <w:p w14:paraId="591FDD1C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2026.06.04</w:t>
            </w:r>
          </w:p>
        </w:tc>
      </w:tr>
      <w:tr w:rsidR="00000000" w14:paraId="3A4BFF48" w14:textId="77777777">
        <w:trPr>
          <w:jc w:val="center"/>
        </w:trPr>
        <w:tc>
          <w:tcPr>
            <w:tcW w:w="1738" w:type="dxa"/>
          </w:tcPr>
          <w:p w14:paraId="51528DB6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评审人</w:t>
            </w:r>
          </w:p>
        </w:tc>
        <w:tc>
          <w:tcPr>
            <w:tcW w:w="288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程子浩、丁梓钊</w:t>
            </w:r>
          </w:p>
        </w:tc>
        <w:tc>
          <w:tcPr>
            <w:tcW w:w="1291" w:type="dxa"/>
          </w:tcPr>
          <w:p w14:paraId="6DFD6D04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2026.06.04</w:t>
            </w:r>
          </w:p>
        </w:tc>
      </w:tr>
      <w:tr w:rsidR="00000000" w14:paraId="6C0022C1" w14:textId="77777777">
        <w:trPr>
          <w:jc w:val="center"/>
        </w:trPr>
        <w:tc>
          <w:tcPr>
            <w:tcW w:w="1738" w:type="dxa"/>
          </w:tcPr>
          <w:p w14:paraId="108D41AE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批准</w:t>
            </w:r>
          </w:p>
        </w:tc>
        <w:tc>
          <w:tcPr>
            <w:tcW w:w="288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第19组</w:t>
            </w:r>
          </w:p>
        </w:tc>
        <w:tc>
          <w:tcPr>
            <w:tcW w:w="1291" w:type="dxa"/>
          </w:tcPr>
          <w:p w14:paraId="7FE52FD9" w14:textId="77777777" w:rsidR="005A68AE" w:rsidRDefault="005A68AE">
            <w:pPr>
              <w:pStyle w:val="a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2026.06.04</w:t>
            </w:r>
          </w:p>
        </w:tc>
      </w:tr>
    </w:tbl>
    <w:p w14:paraId="5C424497" w14:textId="77777777" w:rsidR="005A68AE" w:rsidRDefault="005A68AE">
      <w:pPr>
        <w:spacing w:line="240" w:lineRule="atLeast"/>
        <w:jc w:val="center"/>
        <w:rPr>
          <w:rFonts w:ascii="宋体" w:hAnsi="宋体" w:hint="eastAsia"/>
          <w:b/>
          <w:sz w:val="28"/>
          <w:szCs w:val="28"/>
        </w:rPr>
      </w:pPr>
    </w:p>
    <w:p w14:paraId="754E4612" w14:textId="77777777" w:rsidR="005A68AE" w:rsidRDefault="005A68AE">
      <w:pPr>
        <w:spacing w:line="240" w:lineRule="atLeast"/>
        <w:jc w:val="center"/>
        <w:rPr>
          <w:rFonts w:ascii="宋体" w:hAnsi="宋体" w:hint="eastAsia"/>
          <w:b/>
          <w:sz w:val="28"/>
          <w:szCs w:val="28"/>
        </w:rPr>
      </w:pPr>
    </w:p>
    <w:p w14:paraId="56E30BFC" w14:textId="77777777" w:rsidR="005A68AE" w:rsidRDefault="005A68AE">
      <w:pPr>
        <w:spacing w:line="240" w:lineRule="atLeast"/>
        <w:jc w:val="center"/>
        <w:rPr>
          <w:rFonts w:ascii="宋体" w:hAnsi="宋体" w:hint="eastAsia"/>
          <w:b/>
          <w:sz w:val="28"/>
          <w:szCs w:val="28"/>
        </w:rPr>
      </w:pPr>
    </w:p>
    <w:p w14:paraId="5F4FAEAB" w14:textId="77777777" w:rsidR="005A68AE" w:rsidRDefault="005A68AE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 xml:space="preserve">  </w:t>
      </w:r>
    </w:p>
    <w:p w14:paraId="0EECB416" w14:textId="77777777" w:rsidR="005A68AE" w:rsidRDefault="005A68AE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武汉</w:t>
      </w:r>
      <w:r>
        <w:rPr>
          <w:rFonts w:ascii="宋体" w:hAnsi="宋体" w:hint="eastAsia"/>
          <w:b/>
          <w:sz w:val="28"/>
          <w:szCs w:val="28"/>
        </w:rPr>
        <w:t>学链</w:t>
      </w:r>
      <w:r>
        <w:rPr>
          <w:rFonts w:ascii="宋体" w:hAnsi="宋体" w:hint="eastAsia"/>
          <w:b/>
          <w:sz w:val="28"/>
          <w:szCs w:val="28"/>
        </w:rPr>
        <w:t>科技有限公司</w:t>
      </w:r>
    </w:p>
    <w:p w14:paraId="29C55AEE" w14:textId="77777777" w:rsidR="005A68AE" w:rsidRDefault="005A68AE">
      <w:pPr>
        <w:widowControl/>
        <w:spacing w:line="360" w:lineRule="auto"/>
        <w:jc w:val="center"/>
        <w:rPr>
          <w:rFonts w:ascii="华文细黑" w:eastAsia="华文细黑" w:hAnsi="华文细黑"/>
          <w:sz w:val="24"/>
          <w:szCs w:val="24"/>
        </w:rPr>
      </w:pPr>
      <w:r>
        <w:rPr>
          <w:rFonts w:ascii="华文细黑" w:eastAsia="华文细黑" w:hAnsi="华文细黑"/>
          <w:sz w:val="24"/>
          <w:szCs w:val="24"/>
        </w:rPr>
        <w:t>版权所有</w:t>
      </w:r>
      <w:r>
        <w:rPr>
          <w:rFonts w:ascii="华文细黑" w:eastAsia="华文细黑" w:hAnsi="华文细黑"/>
          <w:sz w:val="24"/>
          <w:szCs w:val="24"/>
        </w:rPr>
        <w:t xml:space="preserve">  </w:t>
      </w:r>
      <w:r>
        <w:rPr>
          <w:rFonts w:ascii="华文细黑" w:eastAsia="华文细黑" w:hAnsi="华文细黑"/>
          <w:sz w:val="24"/>
          <w:szCs w:val="24"/>
        </w:rPr>
        <w:t>不得复制</w:t>
      </w:r>
    </w:p>
    <w:p w14:paraId="133E1303" w14:textId="77777777" w:rsidR="005A68AE" w:rsidRDefault="005A68AE">
      <w:pPr>
        <w:sectPr w:rsidR="00000000">
          <w:headerReference w:type="default" r:id="rId6"/>
          <w:footerReference w:type="default" r:id="rId7"/>
          <w:headerReference w:type="first" r:id="rId8"/>
          <w:footerReference w:type="first" r:id="rId9"/>
          <w:pgSz w:w="11906" w:h="16838"/>
          <w:pgMar w:top="1440" w:right="1287" w:bottom="1440" w:left="1622" w:header="851" w:footer="992" w:gutter="0"/>
          <w:cols w:space="720"/>
          <w:titlePg/>
          <w:docGrid w:type="lines" w:linePitch="312"/>
        </w:sectPr>
      </w:pPr>
    </w:p>
    <w:p w14:paraId="4F6C168E" w14:textId="77777777" w:rsidR="005A68AE" w:rsidRDefault="005A68AE">
      <w:pPr>
        <w:widowControl/>
        <w:spacing w:line="360" w:lineRule="auto"/>
        <w:jc w:val="center"/>
        <w:rPr>
          <w:rFonts w:hint="eastAsia"/>
          <w:sz w:val="36"/>
          <w:szCs w:val="36"/>
        </w:rPr>
      </w:pPr>
      <w:r>
        <w:rPr>
          <w:sz w:val="36"/>
          <w:szCs w:val="36"/>
        </w:rPr>
        <w:lastRenderedPageBreak/>
        <w:t>Revision Record</w:t>
      </w:r>
    </w:p>
    <w:p w14:paraId="00AA35D5" w14:textId="77777777" w:rsidR="005A68AE" w:rsidRDefault="005A68AE">
      <w:pPr>
        <w:widowControl/>
        <w:spacing w:line="360" w:lineRule="auto"/>
        <w:jc w:val="center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修订记录</w:t>
      </w:r>
    </w:p>
    <w:p w14:paraId="1CDFE39B" w14:textId="77777777" w:rsidR="005A68AE" w:rsidRDefault="005A68AE">
      <w:pPr>
        <w:jc w:val="center"/>
        <w:rPr>
          <w:rFonts w:hint="eastAsia"/>
          <w:sz w:val="21"/>
          <w:szCs w:val="21"/>
        </w:rPr>
      </w:pPr>
    </w:p>
    <w:tbl>
      <w:tblPr>
        <w:tblW w:w="0" w:type="auto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925"/>
        <w:gridCol w:w="1260"/>
        <w:gridCol w:w="1620"/>
        <w:gridCol w:w="1620"/>
        <w:gridCol w:w="1620"/>
        <w:gridCol w:w="1317"/>
      </w:tblGrid>
      <w:tr w:rsidR="00000000" w14:paraId="160D1E2B" w14:textId="77777777">
        <w:trPr>
          <w:cantSplit/>
          <w:trHeight w:val="1334"/>
          <w:tblHeader/>
          <w:jc w:val="center"/>
        </w:trPr>
        <w:tc>
          <w:tcPr>
            <w:tcW w:w="9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Date / 日期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Revision Version / 修订版本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CR ID /Defect ID / CR/ Defect号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Sec No. / 修改章节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Change Description / 修改描述</w:t>
            </w:r>
          </w:p>
        </w:tc>
        <w:tc>
          <w:tcPr>
            <w:tcW w:w="13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Author / 作者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2026.06.03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V0.1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1-2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根据SRS V1.0完成HLD简介、系统上下文和系统结构设计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程晓洋（SA）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2026.06.03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V0.2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2.2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补充系统架构图、业务流程活动图和模块分解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2026.06.04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V0.3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DR-01~DR-06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2-4</w:t>
            </w:r>
          </w:p>
        </w:tc>
        <w:tc>
          <w:tcPr>
            <w:tcW w:type="dxa" w:w="16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补充核心业务时序图、接口定义、ER图、表结构和核心界面说明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程晓洋（SA）</w:t>
            </w:r>
          </w:p>
        </w:tc>
      </w:tr>
      <w:tr>
        <w:tc>
          <w:tcPr>
            <w:tcW w:type="dxa" w:w="92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2026.06.04</w:t>
            </w:r>
          </w:p>
        </w:tc>
        <w:tc>
          <w:tcPr>
            <w:tcW w:type="dxa" w:w="126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V1.0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全部</w:t>
            </w:r>
          </w:p>
        </w:tc>
        <w:tc>
          <w:tcPr>
            <w:tcW w:type="dxa" w:w="16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按概要设计模板形成正式提交版</w:t>
            </w:r>
          </w:p>
        </w:tc>
        <w:tc>
          <w:tcPr>
            <w:tcW w:type="dxa" w:w="13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第19组</w:t>
            </w:r>
          </w:p>
        </w:tc>
      </w:tr>
    </w:tbl>
    <w:p w14:paraId="4024FA4C" w14:textId="77777777" w:rsidR="005A68AE" w:rsidRDefault="005A68AE">
      <w:pPr>
        <w:rPr>
          <w:b/>
          <w:sz w:val="21"/>
          <w:szCs w:val="21"/>
        </w:rPr>
        <w:sectPr w:rsidR="00000000">
          <w:pgSz w:w="11906" w:h="16838"/>
          <w:pgMar w:top="1440" w:right="1287" w:bottom="1440" w:left="1622" w:header="851" w:footer="992" w:gutter="0"/>
          <w:cols w:space="720"/>
          <w:titlePg/>
          <w:docGrid w:type="lines" w:linePitch="312"/>
        </w:sectPr>
      </w:pPr>
    </w:p>
    <w:p w14:paraId="65A30029" w14:textId="77777777" w:rsidR="005A68AE" w:rsidRDefault="005A68AE">
      <w:pPr>
        <w:jc w:val="center"/>
        <w:rPr>
          <w:rFonts w:hint="eastAsia"/>
          <w:b/>
          <w:sz w:val="32"/>
          <w:szCs w:val="32"/>
        </w:rPr>
      </w:pPr>
      <w:r>
        <w:rPr>
          <w:rFonts w:ascii="Times New Roman" w:hAnsi="Times New Roman" w:eastAsia="黑体"/>
          <w:b/>
          <w:sz w:val="21"/>
        </w:rPr>
        <w:t>目    录</w:t>
      </w:r>
    </w:p>
    <w:p w14:paraId="394A1AD5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1 简介</w:t>
      </w:r>
    </w:p>
    <w:p w14:paraId="6AF43378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1.1 目的</w:t>
      </w:r>
    </w:p>
    <w:p w14:paraId="3567777C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1.2 范围</w:t>
      </w:r>
    </w:p>
    <w:p w14:paraId="5D5F914F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1.2.1 软件名称</w:t>
      </w:r>
    </w:p>
    <w:p w14:paraId="3656658E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1.2.2 软件功能</w:t>
      </w:r>
    </w:p>
    <w:p w14:paraId="2B82DAF8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1.2.3 软件应用</w:t>
      </w:r>
    </w:p>
    <w:p w14:paraId="56172286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1.3 参考资料</w:t>
      </w:r>
    </w:p>
    <w:p w14:paraId="509464FE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2 概要设计</w:t>
      </w:r>
    </w:p>
    <w:p w14:paraId="67F336D8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2.1 第0层设计描述</w:t>
      </w:r>
    </w:p>
    <w:p w14:paraId="788BDCC0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2.1.1 软件系统上下文定义</w:t>
      </w:r>
    </w:p>
    <w:p w14:paraId="28A09B40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2.1.2 设计思路</w:t>
      </w:r>
    </w:p>
    <w:p w14:paraId="3470B680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2.2 第1层设计描述</w:t>
      </w:r>
    </w:p>
    <w:p w14:paraId="63161494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2.2.1 系统结构</w:t>
      </w:r>
    </w:p>
    <w:p w14:paraId="612067ED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2.2.1.1 系统结构描述</w:t>
      </w:r>
    </w:p>
    <w:p w14:paraId="333FDA19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2.2.1.2 业务流程说明</w:t>
      </w:r>
    </w:p>
    <w:p w14:paraId="339EB33F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2.2.2 分解描述</w:t>
      </w:r>
    </w:p>
    <w:p w14:paraId="6A4F3A45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2.2.3 接口描述</w:t>
      </w:r>
    </w:p>
    <w:p w14:paraId="7C7B66B8" w14:textId="77777777" w:rsidR="005A68AE" w:rsidRDefault="005A68AE">
      <w:pPr>
        <w:pStyle w:val="TOC5"/>
        <w:tabs>
          <w:tab w:val="right" w:leader="dot" w:pos="8306"/>
        </w:tabs>
        <w:ind w:left="1600"/>
      </w:pPr>
      <w:r>
        <w:rPr>
          <w:rFonts w:ascii="Times New Roman" w:hAnsi="Times New Roman" w:eastAsia="宋体"/>
          <w:b w:val="0"/>
          <w:sz w:val="21"/>
        </w:rPr>
        <w:t>3 数据结构/数据库设计</w:t>
      </w:r>
    </w:p>
    <w:p w14:paraId="25209223" w14:textId="77777777" w:rsidR="005A68AE" w:rsidRDefault="005A68AE">
      <w:pPr>
        <w:pStyle w:val="TOC5"/>
        <w:tabs>
          <w:tab w:val="right" w:leader="dot" w:pos="8306"/>
        </w:tabs>
        <w:ind w:left="1600"/>
      </w:pPr>
      <w:r>
        <w:rPr>
          <w:rFonts w:ascii="Times New Roman" w:hAnsi="Times New Roman" w:eastAsia="宋体"/>
          <w:b w:val="0"/>
          <w:sz w:val="21"/>
        </w:rPr>
        <w:t>3.1 概念模型</w:t>
      </w:r>
    </w:p>
    <w:p w14:paraId="6D9314C4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3.2 数据库表设计</w:t>
      </w:r>
    </w:p>
    <w:p w14:paraId="3E908B0E" w14:textId="77777777" w:rsidR="005A68AE" w:rsidRDefault="005A68AE">
      <w:pPr>
        <w:pStyle w:val="TOC3"/>
        <w:tabs>
          <w:tab w:val="right" w:leader="dot" w:pos="8306"/>
        </w:tabs>
        <w:ind w:left="800"/>
      </w:pPr>
      <w:r>
        <w:rPr>
          <w:rFonts w:ascii="Times New Roman" w:hAnsi="Times New Roman" w:eastAsia="宋体"/>
          <w:b w:val="0"/>
          <w:sz w:val="21"/>
        </w:rPr>
        <w:t>3.3 存储过程设计</w:t>
      </w:r>
    </w:p>
    <w:p w14:paraId="4A3368A2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3.4 视图设计</w:t>
      </w:r>
    </w:p>
    <w:p w14:paraId="3141F2CF" w14:textId="77777777" w:rsidR="005A68AE" w:rsidRDefault="005A68AE">
      <w:pPr>
        <w:pStyle w:val="TOC4"/>
        <w:tabs>
          <w:tab w:val="right" w:leader="dot" w:pos="8306"/>
        </w:tabs>
        <w:ind w:left="1200"/>
      </w:pPr>
      <w:r>
        <w:rPr>
          <w:rFonts w:ascii="Times New Roman" w:hAnsi="Times New Roman" w:eastAsia="宋体"/>
          <w:b w:val="0"/>
          <w:sz w:val="21"/>
        </w:rPr>
        <w:t>3.5 触发器设计</w:t>
      </w:r>
    </w:p>
    <w:p w14:paraId="4A0CAE83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  <w:t>3.6 函数设计</w:t>
      </w:r>
    </w:p>
    <w:p w14:paraId="638FC416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3.7 基础数据配置</w:t>
      </w:r>
    </w:p>
    <w:p w14:paraId="1D625A6F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 界面设计</w:t>
      </w:r>
    </w:p>
    <w:p w14:paraId="61341104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4.1 车主端核心界面</w:t>
      </w:r>
    </w:p>
    <w:p w14:paraId="257DA53D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4.2 管理端核心界面</w:t>
      </w:r>
    </w:p>
    <w:p w14:paraId="6038E661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4.3 监管端核心界面</w:t>
      </w:r>
    </w:p>
    <w:p w14:paraId="01EB138C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  <w:t>5 出错处理设计</w:t>
      </w:r>
    </w:p>
    <w:p w14:paraId="3259A273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</w:r>
    </w:p>
    <w:p w14:paraId="33B9DF49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</w:r>
    </w:p>
    <w:p w14:paraId="7CB7C543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</w:r>
    </w:p>
    <w:p w14:paraId="3117A210" w14:textId="77777777" w:rsidR="005A68AE" w:rsidRDefault="005A68AE">
      <w:pPr>
        <w:pStyle w:val="TOC2"/>
        <w:tabs>
          <w:tab w:val="right" w:leader="dot" w:pos="8306"/>
        </w:tabs>
        <w:ind w:left="400"/>
      </w:pPr>
      <w:r>
        <w:rPr>
          <w:rFonts w:ascii="Times New Roman" w:hAnsi="Times New Roman" w:eastAsia="宋体"/>
          <w:b w:val="0"/>
          <w:sz w:val="21"/>
        </w:rPr>
      </w:r>
    </w:p>
    <w:p w14:paraId="72B10A10" w14:textId="77777777" w:rsidR="005A68AE" w:rsidRDefault="005A68AE">
      <w:pPr>
        <w:pStyle w:val="TOC1"/>
        <w:tabs>
          <w:tab w:val="right" w:leader="dot" w:pos="8306"/>
        </w:tabs>
      </w:pPr>
      <w:r>
        <w:rPr>
          <w:rFonts w:ascii="Times New Roman" w:hAnsi="Times New Roman" w:eastAsia="宋体"/>
          <w:b w:val="0"/>
          <w:sz w:val="21"/>
        </w:rPr>
      </w:r>
    </w:p>
    <w:p w14:paraId="0CDC083E" w14:textId="77777777" w:rsidR="005A68AE" w:rsidRDefault="005A68AE">
      <w:pPr>
        <w:rPr>
          <w:rFonts w:hint="eastAsia"/>
          <w:b/>
          <w:sz w:val="21"/>
          <w:szCs w:val="21"/>
        </w:rPr>
      </w:pPr>
      <w:r>
        <w:rPr>
          <w:rFonts w:ascii="Times New Roman" w:hAnsi="Times New Roman" w:eastAsia="宋体"/>
          <w:b w:val="0"/>
          <w:sz w:val="21"/>
        </w:rPr>
      </w:r>
    </w:p>
    <w:p w14:paraId="7034F2E2" w14:textId="77777777" w:rsidR="005A68AE" w:rsidRDefault="005A68AE">
      <w:pPr>
        <w:rPr>
          <w:rFonts w:hint="eastAsia"/>
          <w:b/>
          <w:sz w:val="21"/>
          <w:szCs w:val="21"/>
        </w:rPr>
        <w:sectPr w:rsidR="00000000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  <w:r>
        <w:rPr>
          <w:rFonts w:ascii="Times New Roman" w:hAnsi="Times New Roman" w:eastAsia="宋体"/>
          <w:b w:val="0"/>
          <w:sz w:val="21"/>
        </w:rPr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Keywords 关键词：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智慧停车；概要设计；系统上下文；模块分解；时序图；接口设计；数据库设计；界面设计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Abstract 摘    要：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本文档按照《概要设计说明书》模板编写，基于《功能需求规格说明书 SRS V1.0》对AI-driven城市智慧停车管理与诱导系统进行高层设计。文档覆盖系统上下文、架构设计、业务流程、模块分解、接口、数据库结构、核心界面和出错处理，为后续编码实现与测试提供依据。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List of abbreviations 缩略语清单：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缩略语见前置表格。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1 简介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1.1 目的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本文档描述AI-driven城市智慧停车管理与诱导系统的概要设计，明确系统边界、总体架构、模块拆分、核心业务流程、接口和数据结构。预期读者包括项目成员、系统架构师、开发人员、测试人员和课程评审人员。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本文档按照第三周任务从需求规格说明书向系统设计过渡，重点回答系统边界如何划分、模块如何分解、接口如何协同、数据如何落表、页面如何承载业务流程等问题。后续详细设计和编码实现应以本文档的模块、接口和数据结构为基础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1.2 范围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1.2.1 软件名称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AI-driven城市智慧停车管理与诱导系统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1.2.2 软件功能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系统覆盖SRS中的18个一级业务模块。P0模块形成车主停车闭环与运营管理闭环，P1模块增强监管、分析、诱导和共享能力，P2模块通过模拟数据与预留接口表达充电、违停、月卡、设备运维和联合营销等扩展场景。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扩展说明：P0模块优先保证演示闭环稳定，P1模块补足运营、监管和分析能力，P2模块通过模拟数据和预留接口体现扩展方向。这样的分层可以让小组在有限实训周期内先完成主流程，再逐步增加增强能力。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1.2.3 软件应用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软件应用于城市停车资源查询、车位预约、停车场运营、违停监管、设备运维和商圈营销等教学实训场景。实训环境下不依赖真实AI模型、GIS地图、支付通道和硬件设备，而是通过模拟接口、状态字段、初始数据和可视化页面完成业务闭环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扩展说明：应用场景不仅包括车主找车位，也包括停车场管理员维护资源、监管人员观察城市态势、设备运维人员处理异常和商圈运营人员核销优惠。界面和接口设计应让这些角色各自看到与职责匹配的数据。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1.3 参考资料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《功能需求规格说明书 SRS V1.0》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《软件开发计划 V1.0》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《项目立项报告 V1.0》</w:t>
      </w:r>
    </w:p>
    <w:p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教师发布的第三周项目任务作业与每日任务截图（2026.06.01-2026.06.04）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2 概要设计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2.1 第0层设计描述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2.1.1 软件系统上下文定义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外部实体包括车主、停车场管理员、交管监管人员和外部模拟能力。车主通过车主端完成查询、预约、支付和寻车；管理员通过管理端维护车场、车位、订单、设备、价格和营销；监管人员查看汇总态势、违停和政策评估；AI识别、GIS、支付、道闸、诱导屏和充电桩在实训阶段以模拟服务接入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上下文边界内的系统负责业务状态保存、接口编排和页面展示；边界外的AI识别、GIS地图、支付、道闸、诱导屏和充电桩均以模拟适配器接入。这样既符合实训环境约束，也保留未来真实设备接入的扩展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图2-1 软件系统上下文图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2.1.2 设计思路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系统采用前后端分离B/S结构。前端使用Vue3、Element Plus、Vite、ECharts组织车主端、管理端和监管端页面；后端使用FastAPI提供RESTful JSON接口；数据库使用SQLite和SQLAlchemy ORM；外部能力采用适配器模式预留服务接口，当前实现使用模拟数据和状态面板。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扩展说明：表现层不直接访问数据库，所有业务操作均通过后端接口完成；服务层负责状态机、计费规则、统计聚合和异常处理；数据访问层统一管理事务，降低前端页面与数据库结构之间的耦合。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设计原则包括：模块边界对应SRS的18个一级业务模块；注册登录、基础CRUD、订单和统计图表作为支撑能力归入相关模块；核心闭环优先实现；高风险外部依赖采用可替换模拟服务。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2.2 第1层设计描述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2.2.1 系统结构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2.2.1.1 系统结构描述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图2-2 系统结构图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层次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组成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职责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表现层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车主端、管理端、监管端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提供搜索、预约、支付、运营、监管等页面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FastAPI Router、Session中间件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统一鉴权、参数校验、错误码和JSON响应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业务服务层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预约、订单、分析、定价、运维等服务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承载状态机、计费规则、统计聚合和模拟服务编排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数据访问层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SQLAlchemy ORM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封装模型、事务、查询和数据一致性约束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SQLite、初始化数据、日志表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保存业务状态、配置、订单和审计数据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2.2.1.2 业务流程说明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核心业务流程以车主停车闭环为主线：查询停车资源、预约锁定车位、导航入场、车牌识别生成订单、停车期间支持寻车、出场计费、模拟支付、释放车位并沉淀运营统计。管理端与监管端围绕该闭环读取和维护车场、订单、设备、违停、价格和分析数据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扩展说明：管理端和监管端流程都围绕该闭环产生的数据展开。预约会影响车位状态，入出场会生成订单，支付会释放车位，订单和违停记录会进入统计分析，设备异常会影响检测、诱导和出入场可用性。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图2-3 车主停车闭环活动图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2.2.2 分解描述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系统模块分解严格对应需求规格说明书中的18个一级业务模块，按P0/P1/P2安排实现优先级。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扩展说明：每个一级模块都需要在概要设计中明确页面入口、服务职责、数据表和接口边界。实现支撑项可以跨模块复用，但不得破坏一级模块与需求追踪矩阵的对应关系。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模块ID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模块名称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优先级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功能摘要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主要数据对象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路内停车位视觉检测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模拟识别车位占用、违停和车牌，提供人工复核。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roadside_detections, violations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M2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停车场数据联网接入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r>
              <w:t>接入路外停车场空位、价格和运营状态。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parking_lots, sync_logs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M3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城市停车一张图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r>
              <w:t>汇总路内外停车资源，支持地图/列表查询和筛选。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M4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停车诱导信息发布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按空位与拥堵状态生成并发布诱导屏内容。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guide_screens, publish_logs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智能导航与车位预约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r>
              <w:t>推荐停车方案，锁定车位并管理预约状态。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车牌识别与无感支付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r>
              <w:t>模拟车牌入出场、自动计费和无感支付。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vehicles, parking_orders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M7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停车行为大数据分析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统计周转率、饱和度、停留时长和收入趋势。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parking_orders, analytics_snapshots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M8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动态定价策略引擎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按时段、热度和利用率计算价格系数。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pricing_rules, pricing_logs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M9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共享停车管理平台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支持共享车位发布、预约和收益统计。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shared_spots, reservations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M10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充电车位智能管理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r>
              <w:t>管理充电车位、充电桩状态和异常占用。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charging_piles,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M11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违停自动抓拍与取证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r>
              <w:t>模拟违停抓拍、证据归档和审核处理。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violations, review_logs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M12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长期停车月卡管理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r>
              <w:t>支持月卡申请、审批、续费和到期提醒。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monthly_cards, vehicles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M13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车场运营管理后台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r>
              <w:t>承载车场、车位、订单、设备、价格和统计管理。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parking_lots, parking_orders, devices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M14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车主移动端APP/小程序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type="dxa" w:w="1661"/>
            <w:vAlign w:val="center"/>
          </w:tcPr>
          <w:p>
            <w:r>
              <w:t>承载搜索、预约、支付、记录、寻车和优惠入口。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users, vehicles, reservations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M15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反向寻车导航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按车牌/订单定位车辆，生成楼层和路线指引。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parking_orders, parking_spots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M16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设备运维管理平台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r>
              <w:t>管理摄像头、道闸、诱导屏、充电桩和告警。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devices, maintenance_logs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M17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城市停车监管平台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type="dxa" w:w="1661"/>
            <w:vAlign w:val="center"/>
          </w:tcPr>
          <w:p>
            <w:r>
              <w:t>展示城市停车态势、违停、收费和政策评估。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analytics_snapshots, violations</w:t>
            </w:r>
          </w:p>
        </w:tc>
      </w:tr>
      <w:tr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M18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商圈停车联合营销</w:t>
            </w:r>
          </w:p>
        </w:tc>
        <w:tc>
          <w:tcPr>
            <w:tcW w:type="dxa" w:w="16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type="dxa" w:w="1661"/>
            <w:vAlign w:val="center"/>
          </w:tcPr>
          <w:p>
            <w:r>
              <w:t>配置优惠活动、停车券核销和效果统计。</w:t>
              <w:br/>
              <w:t>设计补充：该模块需明确页面入口、服务方法、状态变化和异常提示，保证能从需求追踪到接口与数据表。</w:t>
            </w:r>
          </w:p>
        </w:tc>
        <w:tc>
          <w:tcPr>
            <w:tcW w:type="dxa" w:w="16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marketing_campaigns, coupons</w:t>
            </w:r>
          </w:p>
        </w:tc>
      </w:tr>
    </w:tbl>
    <w:p/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2.2.2.1 P0核心闭环模块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P0模块包括M2、M3、M5、M6、M13、M14，负责停车场数据接入、一张图查询、预约、车牌识别计费、运营后台和车主移动端，是课程演示必须稳定闭合的主路径。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2.2.2.1.1 智能导航与车位预约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类设计：ReservationService负责预约创建、取消、确认和过期释放；SpotService负责车位状态校验与锁定；LotService负责车场查询和推荐；Reservation模型保存预约状态、锁定到期时间和关联车位。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功能实现说明：车主端提交预约请求后，接口层校验登录态与参数，预约服务检查车位可用性，写入reservations并将parking_spots.status置为locked。超时任务扫描expire_at释放未确认预约。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图2-4 预约与无感支付核心时序图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2.2.2.1.2 车牌识别与无感支付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类设计：PlateRecognitionAdapter模拟车牌识别结果；OrderService负责订单生成、计费和状态更新；PaymentAdapter模拟扣款；ParkingOrder模型记录入场、出场、金额和支付状态。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功能实现说明：车辆入场时系统根据车牌与预约状态生成订单；出场时按费率、免费时长和动态定价规则计算金额；模拟支付成功后订单完成并释放车位。</w:t>
      </w:r>
    </w:p>
    <w:p>
      <w:pPr>
        <w:pStyle w:val="4"/>
        <w:keepNext/>
      </w:pPr>
      <w:r>
        <w:rPr>
          <w:rFonts w:ascii="Times New Roman" w:hAnsi="Times New Roman" w:eastAsia="黑体"/>
          <w:b/>
          <w:sz w:val="22"/>
        </w:rPr>
        <w:t>2.2.2.2 P1/P2增强与扩展模块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P1模块重点服务监管、分析和运营提效，P2模块采用模拟数据、状态字段和预留接口完成扩展表达。所有模块都通过统一API、统一错误码和统一数据字典与核心闭环联动。</w:t>
      </w:r>
    </w:p>
    <w:p>
      <w:pPr>
        <w:pStyle w:val="3"/>
        <w:keepNext/>
      </w:pPr>
      <w:r>
        <w:rPr>
          <w:rFonts w:ascii="Times New Roman" w:hAnsi="Times New Roman" w:eastAsia="黑体"/>
          <w:b/>
          <w:sz w:val="24"/>
        </w:rPr>
        <w:t>2.2.3 接口描述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接口统一采用HTTP/1.1 + RESTful JSON，统一响应格式为 {code, msg, data}。code=0表示成功，400表示参数错误，401表示未登录，403表示无权限，404表示资源不存在，500表示服务端异常。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扩展说明：接口设计应保持请求参数、返回结构和错误码一致，前端通过统一拦截器处理登录失效、权限不足、参数错误和服务异常。管理类接口需要校验角色，监管类接口需要执行数据脱敏。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接口组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方法与路径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关联模块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停车资源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/api/lots/search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按位置、区域、价格、空位查询停车资源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M2/M3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/api/reservations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创建预约并锁定车位15分钟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PUT /api/reservations/{id}/confirm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车辆到场后确认预约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M5/M6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车牌事件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/api/license-plate/events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模拟入出场车牌识别事件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/api/payments/mock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模拟无感支付并更新订单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/api/guide-screens/publish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生成并发布诱导内容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M4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/api/pricing-rules/evaluate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按规则计算价格系数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M8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监管态势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GET /api/regulation/dashboard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查询城市停车监管汇总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M17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PUT /api/devices/{id}/status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更新设备状态和告警处理结果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M16</w:t>
            </w:r>
          </w:p>
        </w:tc>
      </w:tr>
      <w:tr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营销核销</w:t>
            </w:r>
          </w:p>
        </w:tc>
        <w:tc>
          <w:tcPr>
            <w:tcW w:type="dxa" w:w="207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POST /api/coupons/redeem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核销商圈停车优惠</w:t>
            </w:r>
          </w:p>
        </w:tc>
        <w:tc>
          <w:tcPr>
            <w:tcW w:type="dxa" w:w="207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M18</w:t>
            </w:r>
          </w:p>
        </w:tc>
      </w:tr>
    </w:tbl>
    <w:p/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3 数据结构/数据库设计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3.1 概念模型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核心概念模型围绕用户、车辆、停车场、车位、预约、订单、设备、违停证据、定价规则、营销活动和统计快照展开。用户与车辆、预约、订单存在一对多关系；停车场与车位、设备、订单存在一对多关系；预约确认后生成订单；订单、违停、定价和营销数据进入统计快照供运营和监管使用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扩展说明：数据库设计优先保证核心状态一致性，尤其是车位、预约、订单、支付和设备状态之间的联动。统计类数据可以通过快照表沉淀，减少页面每次打开都进行复杂聚合的成本。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4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18"/>
        </w:rPr>
        <w:t>图3-1 核心实体关系图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3.2 数据库表设计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表名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关键字段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users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用户与角色权限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username, password_hash, phone, role, created_at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vehicles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车牌与车辆信息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plate_number, vehicle_type, default_flag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parking_lots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停车场基础信息和接入状态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name, address, region, total_spots, rate_per_hour,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parking_spots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车位状态、类型和位置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spot_number, floor, zone, status, spot_type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reservations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预约锁定、确认、取消和过期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spot_id, status, expire_at, confirm_at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parking_orders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入出场订单、计费和支付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spot_id, plate_number, entry_time, exit_time, amount,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shared_spots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共享车位发布与收益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owner_id, spot_id, available_start, available_end, price,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charging_piles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充电桩和充电车位状态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spot_id, power_kw, status, fault_type, last_update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violations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违停证据与审核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plate_number, location, evidence_url, review_status, violation_at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monthly_cards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月卡申请、审批和续费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user_id, plate_number, lot_id, valid_to,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devices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设备台账、在线状态和运维日志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device_type, status, firmware_version, last_heartbeat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guide_screens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诱导屏位置和发布内容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location, related_lot_id, content, publish_status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pricing_rules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动态定价规则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period, factor, reason, enabled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marketing_campaigns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商圈营销活动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name, merchant, rule_desc, valid_to, status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analytics_snapshots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统计指标快照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id, lot_id, metric_type, metric_value, snapshot_at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3.3 存储过程设计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实训阶段使用SQLite，不设计数据库存储过程。预约超时释放、统计聚合和价格计算由后端服务层定时任务或接口逻辑实现。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3.4 视图设计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视图名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字段口径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v_lot_realtime_status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停车一张图实时展示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车场、区域、总车位、空余车位、价格、更新时间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v_order_revenue_daily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运营收入日报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日期、车场、订单数、收入、平均停车时长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v_regulation_summary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监管汇总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区域、车场数、总车位、占用率、违停数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3.5 触发器设计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不使用数据库触发器。订单完成、预约取消、支付成功等状态变更由服务层显式更新，并写入操作日志，避免演示环境中隐式逻辑难以追踪。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3.6 函数设计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主要函数包括calculate_fee(order, pricing_rule)、release_expired_reservations(now)、aggregate_lot_status(lot_id)、evaluate_pricing_factor(lot_id, time_range)和mask_regulation_data(records)。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3.7 基础数据配置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基础数据包括示例停车场、车位、车辆、管理员账号、设备、诱导屏、价格规则、营销活动和历史订单。初始化脚本应保证车主端、运营端和监管端都有可演示数据。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扩展说明：基础数据应覆盖至少一个完整演示闭环：车主账号、车辆、停车场、空闲车位、预约记录、入场订单、支付记录、设备告警、违停证据和营销活动，确保答辩时不依赖临时手工录入。</w:t>
      </w:r>
    </w:p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4 界面设计</w:t>
      </w:r>
    </w:p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4.1 车主端核心界面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首页/搜索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目的地搜索框、附近车场卡片、空位/价格标签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输入目的地后查询停车一张图并按距离与空位排序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车场详情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车场信息、车位网格、预约按钮、收费规则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选择可预约车位后进入预约确认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预约车位、倒计时、取消/到场确认按钮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锁定15分钟，超时自动释放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出场支付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订单金额、停车时长、模拟支付按钮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支付成功后完成订单并释放车位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反向寻车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车牌输入、楼层区域、路线文本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按进行中订单生成寻车指引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4.2 管理端核心界面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运营概览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车位利用率、收入、订单、异常卡片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查看车场经营状态并进入明细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数据接入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停车场接入配置、同步状态、离线告警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维护路外停车场模拟接口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诱导发布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诱导屏列表、发布内容、发布状态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生成并模拟发布诱导信息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动态定价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价格规则表、时段系数、发布记录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配置并审计价格策略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设备运维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设备列表、故障等级、处理记录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处理摄像头、道闸、诱导屏和充电桩状态</w:t>
            </w:r>
          </w:p>
        </w:tc>
      </w:tr>
    </w:tbl>
    <w:p/>
    <w:p>
      <w:pPr>
        <w:pStyle w:val="2"/>
        <w:keepNext/>
      </w:pPr>
      <w:r>
        <w:rPr>
          <w:rFonts w:ascii="Times New Roman" w:hAnsi="Times New Roman" w:eastAsia="黑体"/>
          <w:b/>
          <w:sz w:val="28"/>
        </w:rPr>
        <w:t>4.3 监管端核心界面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监管大屏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区域占用率、供需趋势、违停数量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展示城市级汇总数据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违停审核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证据图片、车牌、位置、复核状态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审核模拟违停取证记录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政策评估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价格、饱和度、投诉/违停趋势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辅助评估停车政策效果</w:t>
            </w:r>
          </w:p>
        </w:tc>
      </w:tr>
    </w:tbl>
    <w:p/>
    <w:p>
      <w:pPr>
        <w:pStyle w:val="1"/>
        <w:keepNext/>
      </w:pPr>
      <w:r>
        <w:rPr>
          <w:rFonts w:ascii="Times New Roman" w:hAnsi="Times New Roman" w:eastAsia="黑体"/>
          <w:b/>
          <w:sz w:val="32"/>
        </w:rPr>
        <w:t>5 出错处理设计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错误场景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处理策略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用户/管理员提示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未登录或权限不足</w:t>
            </w:r>
          </w:p>
        </w:tc>
        <w:tc>
          <w:tcPr>
            <w:tcW w:type="dxa" w:w="2769"/>
            <w:vAlign w:val="center"/>
          </w:tcPr>
          <w:p>
            <w:r>
              <w:t>接口返回401/403，前端跳转登录或提示无权限；同时记录处理结果，便于测试复盘。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请先登录/无权执行该操作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预约车位已被占用</w:t>
            </w:r>
          </w:p>
        </w:tc>
        <w:tc>
          <w:tcPr>
            <w:tcW w:type="dxa" w:w="2769"/>
            <w:vAlign w:val="center"/>
          </w:tcPr>
          <w:p>
            <w:r>
              <w:t>事务内重新校验车位状态，不创建预约；同时记录处理结果，便于测试复盘。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车位已不可预约，请重新选择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预约超时</w:t>
            </w:r>
          </w:p>
        </w:tc>
        <w:tc>
          <w:tcPr>
            <w:tcW w:type="dxa" w:w="2769"/>
            <w:vAlign w:val="center"/>
          </w:tcPr>
          <w:p>
            <w:r>
              <w:t>定时任务释放车位并更新预约状态；同时记录处理结果，便于测试复盘。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预约已超时，车位已释放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模拟支付失败</w:t>
            </w:r>
          </w:p>
        </w:tc>
        <w:tc>
          <w:tcPr>
            <w:tcW w:type="dxa" w:w="2769"/>
            <w:vAlign w:val="center"/>
          </w:tcPr>
          <w:p>
            <w:r>
              <w:t>订单保持待支付，允许重试或人工处理；同时记录处理结果，便于测试复盘。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支付失败，请重试或联系管理员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设备/诱导屏离线</w:t>
            </w:r>
          </w:p>
        </w:tc>
        <w:tc>
          <w:tcPr>
            <w:tcW w:type="dxa" w:w="2769"/>
            <w:vAlign w:val="center"/>
          </w:tcPr>
          <w:p>
            <w:r>
              <w:t>保留最近一次有效状态并生成告警；同时记录处理结果，便于测试复盘。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设备离线，已记录告警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外部模拟接口异常</w:t>
            </w:r>
          </w:p>
        </w:tc>
        <w:tc>
          <w:tcPr>
            <w:tcW w:type="dxa" w:w="2769"/>
            <w:vAlign w:val="center"/>
          </w:tcPr>
          <w:p>
            <w:r>
              <w:t>降级使用缓存/初始数据，记录日志；同时记录处理结果，便于测试复盘。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数据暂不可用，展示最近一次结果</w:t>
            </w:r>
          </w:p>
        </w:tc>
      </w:tr>
      <w:tr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监管数据敏感</w:t>
            </w:r>
          </w:p>
        </w:tc>
        <w:tc>
          <w:tcPr>
            <w:tcW w:type="dxa" w:w="2769"/>
            <w:vAlign w:val="center"/>
          </w:tcPr>
          <w:p>
            <w:r>
              <w:t>汇总脱敏后展示，不暴露个人手机号和完整车牌；同时记录处理结果，便于测试复盘。</w:t>
            </w:r>
          </w:p>
        </w:tc>
        <w:tc>
          <w:tcPr>
            <w:tcW w:type="dxa" w:w="276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仅展示汇总统计</w:t>
            </w:r>
          </w:p>
        </w:tc>
      </w:tr>
    </w:tbl>
    <w:p/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日志策略：关键操作记录操作者、时间、对象、原状态、新状态和结果；异常日志记录接口路径、错误码和处理方式，便于测试阶段复盘。</w:t>
      </w:r>
    </w:p>
    <w:p>
      <w:pPr>
        <w:spacing w:line="288" w:lineRule="auto" w:after="100"/>
      </w:pPr>
      <w:r>
        <w:rPr>
          <w:rFonts w:ascii="Times New Roman" w:hAnsi="Times New Roman" w:eastAsia="宋体"/>
          <w:b w:val="0"/>
          <w:sz w:val="21"/>
        </w:rPr>
        <w:t>扩展说明：出错处理不仅面向用户提示，也服务于测试和复盘。每类异常都应能定位到接口、数据对象和处理结果；对于支付失败、设备离线、预约超时等场景，系统应保留可重试或人工处理入口。</w:t>
      </w:r>
    </w:p>
    <w:sectPr w:rsidR="005A68AE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046ED" w14:textId="77777777" w:rsidR="005A68AE" w:rsidRDefault="005A68AE">
      <w:r>
        <w:separator/>
      </w:r>
    </w:p>
  </w:endnote>
  <w:endnote w:type="continuationSeparator" w:id="0">
    <w:p w14:paraId="7DB04AA5" w14:textId="77777777" w:rsidR="005A68AE" w:rsidRDefault="005A6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90FEE" w14:textId="77777777" w:rsidR="005A68AE" w:rsidRDefault="005A68AE">
    <w:pPr>
      <w:pStyle w:val="a5"/>
    </w:pPr>
    <w:r>
      <w:rPr>
        <w:rFonts w:hint="eastAsia"/>
        <w:b/>
        <w:color w:val="7F7F7F"/>
      </w:rPr>
      <w:t xml:space="preserve"> 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</w:t>
    </w:r>
    <w:r>
      <w:rPr>
        <w:rFonts w:hint="eastAsia"/>
        <w:b/>
        <w:color w:val="7F7F7F"/>
      </w:rPr>
      <w:t xml:space="preserve">    </w:t>
    </w:r>
    <w:r>
      <w:rPr>
        <w:rFonts w:hint="eastAsia"/>
        <w:b/>
        <w:color w:val="7F7F7F"/>
      </w:rPr>
      <w:t xml:space="preserve">  </w:t>
    </w:r>
    <w:r>
      <w:rPr>
        <w:rFonts w:hint="eastAsia"/>
        <w:b/>
        <w:color w:val="7F7F7F"/>
      </w:rPr>
      <w:t xml:space="preserve">                 </w:t>
    </w:r>
    <w:r>
      <w:rPr>
        <w:rFonts w:hint="eastAsia"/>
        <w:b/>
        <w:color w:val="7F7F7F"/>
      </w:rPr>
      <w:t xml:space="preserve">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0EA4D942" w14:textId="77777777" w:rsidR="005A68AE" w:rsidRDefault="005A68A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D498" w14:textId="77777777" w:rsidR="005A68AE" w:rsidRDefault="005A68AE">
    <w:pPr>
      <w:pStyle w:val="a5"/>
    </w:pPr>
    <w:r>
      <w:rPr>
        <w:rFonts w:hint="eastAsia"/>
        <w:b/>
        <w:color w:val="7F7F7F"/>
      </w:rPr>
      <w:t xml:space="preserve">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         </w:t>
    </w:r>
    <w:r>
      <w:rPr>
        <w:rFonts w:hint="eastAsia"/>
        <w:b/>
        <w:color w:val="7F7F7F"/>
      </w:rPr>
      <w:t xml:space="preserve">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DC0D4" w14:textId="77777777" w:rsidR="005A68AE" w:rsidRDefault="005A68AE">
    <w:pPr>
      <w:pStyle w:val="a5"/>
    </w:pPr>
    <w:r>
      <w:rPr>
        <w:rFonts w:hint="eastAsia"/>
        <w:b/>
        <w:color w:val="7F7F7F"/>
      </w:rPr>
      <w:t xml:space="preserve">  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  <w:lang w:val="en-US" w:eastAsia="zh-CN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</w:t>
    </w:r>
    <w:r>
      <w:rPr>
        <w:rFonts w:hint="eastAsia"/>
        <w:b/>
        <w:color w:val="7F7F7F"/>
      </w:rPr>
      <w:t xml:space="preserve">    </w:t>
    </w:r>
    <w:r>
      <w:rPr>
        <w:rFonts w:hint="eastAsia"/>
        <w:b/>
        <w:color w:val="7F7F7F"/>
      </w:rPr>
      <w:t xml:space="preserve">  </w:t>
    </w:r>
    <w:r>
      <w:rPr>
        <w:rFonts w:hint="eastAsia"/>
        <w:b/>
        <w:color w:val="7F7F7F"/>
      </w:rPr>
      <w:t xml:space="preserve">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5DBB5B8E" w14:textId="77777777" w:rsidR="005A68AE" w:rsidRDefault="005A68A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851C8" w14:textId="77777777" w:rsidR="005A68AE" w:rsidRDefault="005A68AE">
      <w:r>
        <w:separator/>
      </w:r>
    </w:p>
  </w:footnote>
  <w:footnote w:type="continuationSeparator" w:id="0">
    <w:p w14:paraId="476BED7E" w14:textId="77777777" w:rsidR="005A68AE" w:rsidRDefault="005A68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4EA01" w14:textId="77777777" w:rsidR="005A68AE" w:rsidRDefault="005A68AE">
    <w:pPr>
      <w:pStyle w:val="a6"/>
      <w:pBdr>
        <w:bottom w:val="single" w:sz="4" w:space="1" w:color="auto"/>
      </w:pBdr>
      <w:tabs>
        <w:tab w:val="clear" w:pos="4153"/>
        <w:tab w:val="clear" w:pos="8306"/>
      </w:tabs>
      <w:jc w:val="left"/>
      <w:rPr>
        <w:sz w:val="24"/>
        <w:szCs w:val="24"/>
      </w:rPr>
    </w:pPr>
    <w:r>
      <w:rPr>
        <w:rFonts w:hint="eastAsia"/>
        <w:sz w:val="24"/>
        <w:szCs w:val="24"/>
      </w:rPr>
      <w:t>武汉学链科技有限公司</w:t>
    </w:r>
    <w:r>
      <w:rPr>
        <w:rFonts w:hint="eastAsia"/>
        <w:sz w:val="24"/>
        <w:szCs w:val="24"/>
      </w:rPr>
      <w:t xml:space="preserve">                                      </w:t>
    </w:r>
    <w:r>
      <w:pict w14:anchorId="6E5465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7" o:spid="_x0000_i1026" type="#_x0000_t75" style="width:51.5pt;height:24.5pt">
          <v:imagedata r:id="rId1" o:title="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5B32C" w14:textId="77777777" w:rsidR="005A68AE" w:rsidRDefault="005A68AE">
    <w:pPr>
      <w:pStyle w:val="a6"/>
      <w:pBdr>
        <w:bottom w:val="single" w:sz="4" w:space="1" w:color="auto"/>
      </w:pBdr>
      <w:jc w:val="left"/>
    </w:pPr>
    <w:r>
      <w:rPr>
        <w:rFonts w:hint="eastAsia"/>
        <w:sz w:val="24"/>
        <w:szCs w:val="24"/>
      </w:rPr>
      <w:t>武汉学链科技有限公司</w:t>
    </w:r>
    <w:r>
      <w:rPr>
        <w:rFonts w:hint="eastAsia"/>
        <w:sz w:val="24"/>
        <w:szCs w:val="24"/>
      </w:rPr>
      <w:t xml:space="preserve"> </w:t>
    </w:r>
    <w:r>
      <w:rPr>
        <w:rFonts w:hint="eastAsia"/>
      </w:rPr>
      <w:t xml:space="preserve">                                                            </w:t>
    </w:r>
    <w:r>
      <w:pict w14:anchorId="36B4B82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i1025" type="#_x0000_t75" style="width:51.5pt;height:24.5pt">
          <v:imagedata r:id="rId1" o:title=""/>
        </v:shape>
      </w:pict>
    </w:r>
    <w:r>
      <w:rPr>
        <w:rFonts w:hint="eastAsia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DZhYjI3NzQzODFmNDVjZjlmNTRkMWE3YTI3NzI1OTkifQ=="/>
  </w:docVars>
  <w:rsids>
    <w:rsidRoot w:val="00172A27"/>
    <w:rsid w:val="005A68AE"/>
    <w:rsid w:val="00FA6FC1"/>
    <w:rsid w:val="012A0C1E"/>
    <w:rsid w:val="0EC60F95"/>
    <w:rsid w:val="18584E7F"/>
    <w:rsid w:val="2D45244D"/>
    <w:rsid w:val="57866ED1"/>
    <w:rsid w:val="5A897717"/>
    <w:rsid w:val="635A2B8A"/>
    <w:rsid w:val="6686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107BF7F6"/>
  <w15:chartTrackingRefBased/>
  <w15:docId w15:val="{F038FFE0-75B0-42F3-8A15-82366AB9A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semiHidden="1" w:uiPriority="99" w:unhideWhenUsed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link w:val="CharCharChar1CharCharCharCharCharCharChar"/>
    <w:semiHidden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Body Text"/>
    <w:basedOn w:val="a"/>
    <w:pPr>
      <w:spacing w:after="120"/>
    </w:pPr>
  </w:style>
  <w:style w:type="paragraph" w:styleId="TOC5">
    <w:name w:val="toc 5"/>
    <w:basedOn w:val="a"/>
    <w:next w:val="a"/>
    <w:semiHidden/>
    <w:pPr>
      <w:ind w:leftChars="800" w:left="1680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6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</w:style>
  <w:style w:type="paragraph" w:styleId="TOC4">
    <w:name w:val="toc 4"/>
    <w:basedOn w:val="a"/>
    <w:next w:val="a"/>
    <w:semiHidden/>
    <w:pPr>
      <w:ind w:leftChars="600" w:left="1260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Arial" w:hAnsi="Arial" w:cs="Arial"/>
      <w:sz w:val="24"/>
      <w:szCs w:val="24"/>
    </w:rPr>
  </w:style>
  <w:style w:type="paragraph" w:styleId="a7">
    <w:name w:val="Body Text First Indent"/>
    <w:basedOn w:val="a"/>
    <w:pPr>
      <w:spacing w:line="360" w:lineRule="auto"/>
      <w:ind w:firstLineChars="200" w:firstLine="420"/>
      <w:jc w:val="both"/>
    </w:pPr>
    <w:rPr>
      <w:rFonts w:ascii="Arial" w:hAnsi="Arial"/>
      <w:sz w:val="21"/>
      <w:szCs w:val="21"/>
    </w:rPr>
  </w:style>
  <w:style w:type="paragraph" w:customStyle="1" w:styleId="CharCharChar1CharCharCharCharCharCharChar">
    <w:name w:val=" Char Char Char1 Char Char Char Char Char Char Char"/>
    <w:basedOn w:val="a"/>
    <w:link w:val="a0"/>
    <w:rPr>
      <w:rFonts w:ascii="Tahoma" w:hAnsi="Tahoma"/>
      <w:sz w:val="24"/>
    </w:rPr>
  </w:style>
  <w:style w:type="character" w:styleId="a8">
    <w:name w:val="page number"/>
    <w:basedOn w:val="a0"/>
  </w:style>
  <w:style w:type="character" w:styleId="a9">
    <w:name w:val="Hyperlink"/>
    <w:basedOn w:val="a0"/>
    <w:rPr>
      <w:color w:val="0000FF"/>
      <w:u w:val="single"/>
    </w:rPr>
  </w:style>
  <w:style w:type="character" w:customStyle="1" w:styleId="Char">
    <w:name w:val="表格文本 Char"/>
    <w:basedOn w:val="a0"/>
    <w:link w:val="aa"/>
    <w:rPr>
      <w:rFonts w:ascii="Arial" w:eastAsia="宋体" w:hAnsi="Arial"/>
      <w:sz w:val="21"/>
      <w:szCs w:val="21"/>
      <w:lang w:val="en-US" w:eastAsia="zh-CN" w:bidi="ar-SA"/>
    </w:rPr>
  </w:style>
  <w:style w:type="paragraph" w:customStyle="1" w:styleId="aa">
    <w:name w:val="表格文本"/>
    <w:basedOn w:val="a"/>
    <w:link w:val="Char"/>
    <w:pPr>
      <w:tabs>
        <w:tab w:val="decimal" w:pos="0"/>
      </w:tabs>
    </w:pPr>
    <w:rPr>
      <w:rFonts w:ascii="Arial" w:hAnsi="Arial"/>
      <w:sz w:val="21"/>
      <w:szCs w:val="21"/>
      <w:lang w:val="en-US" w:eastAsia="zh-CN"/>
    </w:rPr>
  </w:style>
  <w:style w:type="character" w:customStyle="1" w:styleId="CharChar">
    <w:name w:val="编写建议 Char Char"/>
    <w:basedOn w:val="a0"/>
    <w:link w:val="Char0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paragraph" w:customStyle="1" w:styleId="Char0">
    <w:name w:val="编写建议 Char"/>
    <w:basedOn w:val="a"/>
    <w:link w:val="CharChar"/>
    <w:pPr>
      <w:keepNext/>
      <w:widowControl/>
      <w:spacing w:line="360" w:lineRule="auto"/>
      <w:ind w:firstLineChars="200" w:firstLine="200"/>
    </w:pPr>
    <w:rPr>
      <w:rFonts w:ascii="Arial" w:hAnsi="Arial" w:cs="Arial"/>
      <w:i/>
      <w:color w:val="0000FF"/>
      <w:sz w:val="21"/>
      <w:szCs w:val="21"/>
    </w:rPr>
  </w:style>
  <w:style w:type="paragraph" w:customStyle="1" w:styleId="ab">
    <w:name w:val="缺省文本"/>
    <w:basedOn w:val="a"/>
    <w:pPr>
      <w:spacing w:line="360" w:lineRule="auto"/>
    </w:pPr>
    <w:rPr>
      <w:rFonts w:ascii="Arial" w:hAnsi="Arial"/>
      <w:sz w:val="21"/>
      <w:szCs w:val="21"/>
    </w:rPr>
  </w:style>
  <w:style w:type="paragraph" w:customStyle="1" w:styleId="ac">
    <w:name w:val="封面文档标题"/>
    <w:basedOn w:val="a"/>
    <w:pPr>
      <w:spacing w:line="360" w:lineRule="auto"/>
      <w:jc w:val="center"/>
    </w:pPr>
    <w:rPr>
      <w:rFonts w:ascii="Arial" w:eastAsia="黑体" w:hAnsi="Arial"/>
      <w:bCs/>
      <w:sz w:val="44"/>
      <w:szCs w:val="44"/>
    </w:rPr>
  </w:style>
  <w:style w:type="paragraph" w:customStyle="1" w:styleId="ad">
    <w:name w:val="宋体 三号 加粗 居中"/>
    <w:basedOn w:val="a"/>
    <w:pPr>
      <w:widowControl/>
      <w:overflowPunct w:val="0"/>
      <w:spacing w:line="0" w:lineRule="atLeast"/>
      <w:jc w:val="center"/>
      <w:textAlignment w:val="baseline"/>
    </w:pPr>
    <w:rPr>
      <w:rFonts w:cs="宋体"/>
      <w:b/>
      <w:bCs/>
      <w:sz w:val="32"/>
    </w:rPr>
  </w:style>
  <w:style w:type="paragraph" w:customStyle="1" w:styleId="ae">
    <w:name w:val="封面表格文本"/>
    <w:basedOn w:val="a"/>
    <w:pPr>
      <w:jc w:val="center"/>
    </w:pPr>
    <w:rPr>
      <w:rFonts w:ascii="Arial" w:hAnsi="Arial"/>
      <w:sz w:val="21"/>
      <w:szCs w:val="21"/>
    </w:rPr>
  </w:style>
  <w:style w:type="paragraph" w:customStyle="1" w:styleId="CharCharCharChar">
    <w:name w:val=" Char Char Char Char"/>
    <w:basedOn w:val="a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1540</Words>
  <Characters>2231</Characters>
  <Application>Microsoft Office Word</Application>
  <DocSecurity>4</DocSecurity>
  <PresentationFormat/>
  <Lines>380</Lines>
  <Paragraphs>207</Paragraphs>
  <Slides>0</Slides>
  <Notes>0</Notes>
  <HiddenSlides>0</HiddenSlides>
  <MMClips>0</MMClips>
  <ScaleCrop>false</ScaleCrop>
  <Manager/>
  <Company>broadengate</Company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Introduction 简介</dc:title>
  <dc:subject/>
  <dc:creator>testing</dc:creator>
  <cp:keywords/>
  <dc:description/>
  <cp:lastModifiedBy>梓钊 丁</cp:lastModifiedBy>
  <cp:revision>2</cp:revision>
  <dcterms:created xsi:type="dcterms:W3CDTF">2026-06-04T06:59:00Z</dcterms:created>
  <dcterms:modified xsi:type="dcterms:W3CDTF">2026-06-04T06:59:00Z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D8E198A11B5B4BF28C1BCD9BF894DEEB_12</vt:lpwstr>
  </property>
</Properties>
</file>