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60"/>
        <w:jc w:val="center"/>
      </w:pPr>
      <w:r>
        <w:rPr>
          <w:rFonts w:ascii="Calibri" w:hAnsi="Calibri" w:eastAsia="Microsoft YaHei"/>
          <w:b/>
          <w:color w:val="000000"/>
          <w:sz w:val="40"/>
        </w:rPr>
        <w:t>AI-driven城市智慧停车管理与诱导系统</w:t>
      </w:r>
    </w:p>
    <w:p>
      <w:pPr>
        <w:spacing w:after="280"/>
        <w:jc w:val="center"/>
      </w:pPr>
      <w:r>
        <w:rPr>
          <w:rFonts w:ascii="Calibri" w:hAnsi="Calibri" w:eastAsia="Microsoft YaHei"/>
          <w:b/>
          <w:color w:val="1C436E"/>
          <w:sz w:val="28"/>
        </w:rPr>
        <w:t>High-Level Design V1.0</w:t>
      </w:r>
    </w:p>
    <w:tbl>
      <w:tblPr>
        <w:tblW w:type="dxa" w:w="960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9C6D3"/>
          <w:left w:val="single" w:sz="6" w:space="0" w:color="B9C6D3"/>
          <w:bottom w:val="single" w:sz="6" w:space="0" w:color="B9C6D3"/>
          <w:right w:val="single" w:sz="6" w:space="0" w:color="B9C6D3"/>
          <w:insideH w:val="single" w:sz="6" w:space="0" w:color="B9C6D3"/>
          <w:insideV w:val="single" w:sz="6" w:space="0" w:color="B9C6D3"/>
        </w:tblBorders>
      </w:tblPr>
      <w:tblGrid>
        <w:gridCol w:w="1700"/>
        <w:gridCol w:w="7900"/>
      </w:tblGrid>
      <w:tr>
        <w:tc>
          <w:tcPr>
            <w:tcW w:type="dxa" w:w="17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4F6F8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C436E"/>
                <w:sz w:val="20"/>
              </w:rPr>
              <w:t>项目名称</w:t>
            </w:r>
          </w:p>
        </w:tc>
        <w:tc>
          <w:tcPr>
            <w:tcW w:type="dxa" w:w="7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20"/>
              </w:rPr>
              <w:t>AI-driven城市智慧停车管理与诱导系统</w:t>
            </w:r>
          </w:p>
        </w:tc>
      </w:tr>
      <w:tr>
        <w:tc>
          <w:tcPr>
            <w:tcW w:type="dxa" w:w="17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4F6F8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C436E"/>
                <w:sz w:val="20"/>
              </w:rPr>
              <w:t>小组编号</w:t>
            </w:r>
          </w:p>
        </w:tc>
        <w:tc>
          <w:tcPr>
            <w:tcW w:type="dxa" w:w="7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20"/>
              </w:rPr>
              <w:t>19组</w:t>
            </w:r>
          </w:p>
        </w:tc>
      </w:tr>
      <w:tr>
        <w:tc>
          <w:tcPr>
            <w:tcW w:type="dxa" w:w="17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4F6F8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C436E"/>
                <w:sz w:val="20"/>
              </w:rPr>
              <w:t>组长</w:t>
            </w:r>
          </w:p>
        </w:tc>
        <w:tc>
          <w:tcPr>
            <w:tcW w:type="dxa" w:w="7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20"/>
              </w:rPr>
              <w:t>程晓洋</w:t>
            </w:r>
          </w:p>
        </w:tc>
      </w:tr>
      <w:tr>
        <w:tc>
          <w:tcPr>
            <w:tcW w:type="dxa" w:w="17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4F6F8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C436E"/>
                <w:sz w:val="20"/>
              </w:rPr>
              <w:t>小组成员</w:t>
            </w:r>
          </w:p>
        </w:tc>
        <w:tc>
          <w:tcPr>
            <w:tcW w:type="dxa" w:w="7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20"/>
              </w:rPr>
              <w:t>程晓洋、丁梓钊、程子浩</w:t>
            </w:r>
          </w:p>
        </w:tc>
      </w:tr>
      <w:tr>
        <w:tc>
          <w:tcPr>
            <w:tcW w:type="dxa" w:w="17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4F6F8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C436E"/>
                <w:sz w:val="20"/>
              </w:rPr>
              <w:t>文档类型</w:t>
            </w:r>
          </w:p>
        </w:tc>
        <w:tc>
          <w:tcPr>
            <w:tcW w:type="dxa" w:w="7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20"/>
              </w:rPr>
              <w:t>System Design HLD / 概要设计说明书</w:t>
            </w:r>
          </w:p>
        </w:tc>
      </w:tr>
      <w:tr>
        <w:tc>
          <w:tcPr>
            <w:tcW w:type="dxa" w:w="17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4F6F8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C436E"/>
                <w:sz w:val="20"/>
              </w:rPr>
              <w:t>版本号</w:t>
            </w:r>
          </w:p>
        </w:tc>
        <w:tc>
          <w:tcPr>
            <w:tcW w:type="dxa" w:w="7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20"/>
              </w:rPr>
              <w:t>V1.0</w:t>
            </w:r>
          </w:p>
        </w:tc>
      </w:tr>
      <w:tr>
        <w:tc>
          <w:tcPr>
            <w:tcW w:type="dxa" w:w="17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4F6F8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C436E"/>
                <w:sz w:val="20"/>
              </w:rPr>
              <w:t>编写日期</w:t>
            </w:r>
          </w:p>
        </w:tc>
        <w:tc>
          <w:tcPr>
            <w:tcW w:type="dxa" w:w="7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20"/>
              </w:rPr>
              <w:t>2026年6月2日</w:t>
            </w:r>
          </w:p>
        </w:tc>
      </w:tr>
      <w:tr>
        <w:tc>
          <w:tcPr>
            <w:tcW w:type="dxa" w:w="17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4F6F8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C436E"/>
                <w:sz w:val="20"/>
              </w:rPr>
              <w:t>提交目录</w:t>
            </w:r>
          </w:p>
        </w:tc>
        <w:tc>
          <w:tcPr>
            <w:tcW w:type="dxa" w:w="7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20"/>
              </w:rPr>
              <w:t>04_系统设计</w:t>
            </w:r>
          </w:p>
        </w:tc>
      </w:tr>
    </w:tbl>
    <w:p/>
    <w:p>
      <w:pPr>
        <w:pStyle w:val="Heading1"/>
      </w:pPr>
      <w:r>
        <w:t>一、引言</w:t>
      </w:r>
    </w:p>
    <w:p>
      <w:pPr>
        <w:spacing w:line="283" w:lineRule="auto" w:after="120"/>
        <w:ind w:firstLine="440"/>
      </w:pPr>
      <w:r>
        <w:rPr>
          <w:rFonts w:ascii="Calibri" w:hAnsi="Calibri" w:eastAsia="Microsoft YaHei"/>
          <w:color w:val="232323"/>
          <w:sz w:val="22"/>
        </w:rPr>
        <w:t>本文档是“AI-driven城市智慧停车管理与诱导系统”的概要设计说明书（HLD），描述系统的整体架构、模块划分、技术选型、数据库设计和接口规范，作为后续详细设计和编码实现的依据。</w:t>
      </w:r>
    </w:p>
    <w:p>
      <w:pPr>
        <w:pStyle w:val="Heading1"/>
      </w:pPr>
      <w:r>
        <w:t>二、系统总体设计</w:t>
      </w:r>
    </w:p>
    <w:p>
      <w:pPr>
        <w:pStyle w:val="Heading2"/>
      </w:pPr>
      <w:r>
        <w:t>2.1 系统架构</w:t>
      </w:r>
    </w:p>
    <w:p>
      <w:pPr>
        <w:spacing w:line="283" w:lineRule="auto" w:after="120"/>
        <w:ind w:firstLine="440"/>
      </w:pPr>
      <w:r>
        <w:rPr>
          <w:rFonts w:ascii="Calibri" w:hAnsi="Calibri" w:eastAsia="Microsoft YaHei"/>
          <w:color w:val="232323"/>
          <w:sz w:val="22"/>
        </w:rPr>
        <w:t>采用前后端分离的B/S架构：前端Vue3 SPA（车主端+管理端）→ HTTP RESTful JSON → FastAPI后端 → SQLAlchemy ORM → SQLite数据库。</w:t>
      </w:r>
    </w:p>
    <w:p>
      <w:pPr>
        <w:spacing w:line="283" w:lineRule="auto" w:after="120"/>
        <w:ind w:firstLine="440"/>
      </w:pPr>
      <w:r>
        <w:rPr>
          <w:rFonts w:ascii="Calibri" w:hAnsi="Calibri" w:eastAsia="Microsoft YaHei"/>
          <w:color w:val="232323"/>
          <w:sz w:val="22"/>
        </w:rPr>
        <w:t>设计原则：单一职责、接口隔离、前后端分离、数据安全、约定优于配置。</w:t>
      </w:r>
    </w:p>
    <w:p>
      <w:pPr>
        <w:pStyle w:val="Heading2"/>
      </w:pPr>
      <w:r>
        <w:t>2.2 技术选型</w:t>
      </w:r>
    </w:p>
    <w:tbl>
      <w:tblPr>
        <w:tblW w:type="dxa" w:w="960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9C6D3"/>
          <w:left w:val="single" w:sz="6" w:space="0" w:color="B9C6D3"/>
          <w:bottom w:val="single" w:sz="6" w:space="0" w:color="B9C6D3"/>
          <w:right w:val="single" w:sz="6" w:space="0" w:color="B9C6D3"/>
          <w:insideH w:val="single" w:sz="6" w:space="0" w:color="B9C6D3"/>
          <w:insideV w:val="single" w:sz="6" w:space="0" w:color="B9C6D3"/>
        </w:tblBorders>
      </w:tblPr>
      <w:tblGrid>
        <w:gridCol w:w="1800"/>
        <w:gridCol w:w="2400"/>
        <w:gridCol w:w="1200"/>
        <w:gridCol w:w="4200"/>
      </w:tblGrid>
      <w:tr>
        <w:tc>
          <w:tcPr>
            <w:tcW w:type="dxa" w:w="18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AF2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C436E"/>
                <w:sz w:val="19"/>
              </w:rPr>
              <w:t>层级</w:t>
            </w:r>
          </w:p>
        </w:tc>
        <w:tc>
          <w:tcPr>
            <w:tcW w:type="dxa" w:w="24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AF2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C436E"/>
                <w:sz w:val="19"/>
              </w:rPr>
              <w:t>技术</w:t>
            </w:r>
          </w:p>
        </w:tc>
        <w:tc>
          <w:tcPr>
            <w:tcW w:type="dxa" w:w="12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AF2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C436E"/>
                <w:sz w:val="19"/>
              </w:rPr>
              <w:t>版本</w:t>
            </w:r>
          </w:p>
        </w:tc>
        <w:tc>
          <w:tcPr>
            <w:tcW w:type="dxa" w:w="42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AF2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C436E"/>
                <w:sz w:val="19"/>
              </w:rPr>
              <w:t>说明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前端框架</w:t>
            </w:r>
          </w:p>
        </w:tc>
        <w:tc>
          <w:tcPr>
            <w:tcW w:type="dxa" w:w="24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Vue 3</w:t>
            </w:r>
          </w:p>
        </w:tc>
        <w:tc>
          <w:tcPr>
            <w:tcW w:type="dxa" w:w="12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3.x</w:t>
            </w:r>
          </w:p>
        </w:tc>
        <w:tc>
          <w:tcPr>
            <w:tcW w:type="dxa" w:w="42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组件化开发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UI组件库</w:t>
            </w:r>
          </w:p>
        </w:tc>
        <w:tc>
          <w:tcPr>
            <w:tcW w:type="dxa" w:w="24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Element Plus</w:t>
            </w:r>
          </w:p>
        </w:tc>
        <w:tc>
          <w:tcPr>
            <w:tcW w:type="dxa" w:w="12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2.x</w:t>
            </w:r>
          </w:p>
        </w:tc>
        <w:tc>
          <w:tcPr>
            <w:tcW w:type="dxa" w:w="42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Vue3官方推荐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图表库</w:t>
            </w:r>
          </w:p>
        </w:tc>
        <w:tc>
          <w:tcPr>
            <w:tcW w:type="dxa" w:w="24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ECharts</w:t>
            </w:r>
          </w:p>
        </w:tc>
        <w:tc>
          <w:tcPr>
            <w:tcW w:type="dxa" w:w="12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5.x</w:t>
            </w:r>
          </w:p>
        </w:tc>
        <w:tc>
          <w:tcPr>
            <w:tcW w:type="dxa" w:w="42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数据可视化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构建工具</w:t>
            </w:r>
          </w:p>
        </w:tc>
        <w:tc>
          <w:tcPr>
            <w:tcW w:type="dxa" w:w="24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Vite</w:t>
            </w:r>
          </w:p>
        </w:tc>
        <w:tc>
          <w:tcPr>
            <w:tcW w:type="dxa" w:w="12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5.x</w:t>
            </w:r>
          </w:p>
        </w:tc>
        <w:tc>
          <w:tcPr>
            <w:tcW w:type="dxa" w:w="42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快速冷启动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后端框架</w:t>
            </w:r>
          </w:p>
        </w:tc>
        <w:tc>
          <w:tcPr>
            <w:tcW w:type="dxa" w:w="24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FastAPI</w:t>
            </w:r>
          </w:p>
        </w:tc>
        <w:tc>
          <w:tcPr>
            <w:tcW w:type="dxa" w:w="12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0.100+</w:t>
            </w:r>
          </w:p>
        </w:tc>
        <w:tc>
          <w:tcPr>
            <w:tcW w:type="dxa" w:w="42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异步高性能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ORM</w:t>
            </w:r>
          </w:p>
        </w:tc>
        <w:tc>
          <w:tcPr>
            <w:tcW w:type="dxa" w:w="24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SQLAlchemy</w:t>
            </w:r>
          </w:p>
        </w:tc>
        <w:tc>
          <w:tcPr>
            <w:tcW w:type="dxa" w:w="12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2.x</w:t>
            </w:r>
          </w:p>
        </w:tc>
        <w:tc>
          <w:tcPr>
            <w:tcW w:type="dxa" w:w="42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Python最成熟ORM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数据库</w:t>
            </w:r>
          </w:p>
        </w:tc>
        <w:tc>
          <w:tcPr>
            <w:tcW w:type="dxa" w:w="24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SQLite</w:t>
            </w:r>
          </w:p>
        </w:tc>
        <w:tc>
          <w:tcPr>
            <w:tcW w:type="dxa" w:w="12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3.x</w:t>
            </w:r>
          </w:p>
        </w:tc>
        <w:tc>
          <w:tcPr>
            <w:tcW w:type="dxa" w:w="42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零部署文件存储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密码哈希</w:t>
            </w:r>
          </w:p>
        </w:tc>
        <w:tc>
          <w:tcPr>
            <w:tcW w:type="dxa" w:w="24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bcrypt</w:t>
            </w:r>
          </w:p>
        </w:tc>
        <w:tc>
          <w:tcPr>
            <w:tcW w:type="dxa" w:w="12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4.x</w:t>
            </w:r>
          </w:p>
        </w:tc>
        <w:tc>
          <w:tcPr>
            <w:tcW w:type="dxa" w:w="42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安全哈希算法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认证</w:t>
            </w:r>
          </w:p>
        </w:tc>
        <w:tc>
          <w:tcPr>
            <w:tcW w:type="dxa" w:w="24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Session(Starlette)</w:t>
            </w:r>
          </w:p>
        </w:tc>
        <w:tc>
          <w:tcPr>
            <w:tcW w:type="dxa" w:w="12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内置</w:t>
            </w:r>
          </w:p>
        </w:tc>
        <w:tc>
          <w:tcPr>
            <w:tcW w:type="dxa" w:w="42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简单可靠</w:t>
            </w:r>
          </w:p>
        </w:tc>
      </w:tr>
    </w:tbl>
    <w:p/>
    <w:p>
      <w:pPr>
        <w:pStyle w:val="Heading1"/>
      </w:pPr>
      <w:r>
        <w:t>三、模块设计</w:t>
      </w:r>
    </w:p>
    <w:p>
      <w:pPr>
        <w:spacing w:line="283" w:lineRule="auto" w:after="120"/>
        <w:ind w:firstLine="440"/>
      </w:pPr>
      <w:r>
        <w:rPr>
          <w:rFonts w:ascii="Calibri" w:hAnsi="Calibri" w:eastAsia="Microsoft YaHei"/>
          <w:color w:val="232323"/>
          <w:sz w:val="22"/>
        </w:rPr>
        <w:t>系统共22个功能模块，按四级优先级分层：P0核心7个（M1-M7完整实现）、P1重要2个（M8-M9完整实现）、P2增强2个（M10-M11完整实现）、P2*模拟11个（M12-M22简化实现）。</w:t>
      </w:r>
    </w:p>
    <w:tbl>
      <w:tblPr>
        <w:tblW w:type="dxa" w:w="960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9C6D3"/>
          <w:left w:val="single" w:sz="6" w:space="0" w:color="B9C6D3"/>
          <w:bottom w:val="single" w:sz="6" w:space="0" w:color="B9C6D3"/>
          <w:right w:val="single" w:sz="6" w:space="0" w:color="B9C6D3"/>
          <w:insideH w:val="single" w:sz="6" w:space="0" w:color="B9C6D3"/>
          <w:insideV w:val="single" w:sz="6" w:space="0" w:color="B9C6D3"/>
        </w:tblBorders>
      </w:tblPr>
      <w:tblGrid>
        <w:gridCol w:w="1800"/>
        <w:gridCol w:w="2600"/>
        <w:gridCol w:w="2800"/>
        <w:gridCol w:w="2400"/>
      </w:tblGrid>
      <w:tr>
        <w:tc>
          <w:tcPr>
            <w:tcW w:type="dxa" w:w="18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AF2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C436E"/>
                <w:sz w:val="19"/>
              </w:rPr>
              <w:t>模块</w:t>
            </w:r>
          </w:p>
        </w:tc>
        <w:tc>
          <w:tcPr>
            <w:tcW w:type="dxa" w:w="26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AF2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C436E"/>
                <w:sz w:val="19"/>
              </w:rPr>
              <w:t>前端路由示例</w:t>
            </w:r>
          </w:p>
        </w:tc>
        <w:tc>
          <w:tcPr>
            <w:tcW w:type="dxa" w:w="28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AF2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C436E"/>
                <w:sz w:val="19"/>
              </w:rPr>
              <w:t>后端API端点</w:t>
            </w:r>
          </w:p>
        </w:tc>
        <w:tc>
          <w:tcPr>
            <w:tcW w:type="dxa" w:w="24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AF2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C436E"/>
                <w:sz w:val="19"/>
              </w:rPr>
              <w:t>数据表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M1 用户注册登录</w:t>
            </w:r>
          </w:p>
        </w:tc>
        <w:tc>
          <w:tcPr>
            <w:tcW w:type="dxa" w:w="26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/login, /register, /profile</w:t>
            </w:r>
          </w:p>
        </w:tc>
        <w:tc>
          <w:tcPr>
            <w:tcW w:type="dxa" w:w="2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POST /api/auth/*</w:t>
            </w:r>
          </w:p>
        </w:tc>
        <w:tc>
          <w:tcPr>
            <w:tcW w:type="dxa" w:w="24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users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M2 车场管理</w:t>
            </w:r>
          </w:p>
        </w:tc>
        <w:tc>
          <w:tcPr>
            <w:tcW w:type="dxa" w:w="26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/admin/lots</w:t>
            </w:r>
          </w:p>
        </w:tc>
        <w:tc>
          <w:tcPr>
            <w:tcW w:type="dxa" w:w="2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GET/POST/PUT/DELETE /api/lots</w:t>
            </w:r>
          </w:p>
        </w:tc>
        <w:tc>
          <w:tcPr>
            <w:tcW w:type="dxa" w:w="24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parking_lots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M3 车位查询</w:t>
            </w:r>
          </w:p>
        </w:tc>
        <w:tc>
          <w:tcPr>
            <w:tcW w:type="dxa" w:w="26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/search, /lots/:id/spots</w:t>
            </w:r>
          </w:p>
        </w:tc>
        <w:tc>
          <w:tcPr>
            <w:tcW w:type="dxa" w:w="2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GET /api/lots/search</w:t>
            </w:r>
          </w:p>
        </w:tc>
        <w:tc>
          <w:tcPr>
            <w:tcW w:type="dxa" w:w="24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parking_lots, parking_spots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M4 车位预约</w:t>
            </w:r>
          </w:p>
        </w:tc>
        <w:tc>
          <w:tcPr>
            <w:tcW w:type="dxa" w:w="26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/spots/:id/reserve</w:t>
            </w:r>
          </w:p>
        </w:tc>
        <w:tc>
          <w:tcPr>
            <w:tcW w:type="dxa" w:w="2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POST /api/reservations</w:t>
            </w:r>
          </w:p>
        </w:tc>
        <w:tc>
          <w:tcPr>
            <w:tcW w:type="dxa" w:w="24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reservations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M5 计费支付</w:t>
            </w:r>
          </w:p>
        </w:tc>
        <w:tc>
          <w:tcPr>
            <w:tcW w:type="dxa" w:w="26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/orders/:id/checkout</w:t>
            </w:r>
          </w:p>
        </w:tc>
        <w:tc>
          <w:tcPr>
            <w:tcW w:type="dxa" w:w="2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POST /api/orders/*</w:t>
            </w:r>
          </w:p>
        </w:tc>
        <w:tc>
          <w:tcPr>
            <w:tcW w:type="dxa" w:w="24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parking_orders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M6 记录寻车</w:t>
            </w:r>
          </w:p>
        </w:tc>
        <w:tc>
          <w:tcPr>
            <w:tcW w:type="dxa" w:w="26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/my-records, /find-car</w:t>
            </w:r>
          </w:p>
        </w:tc>
        <w:tc>
          <w:tcPr>
            <w:tcW w:type="dxa" w:w="2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GET /api/records/*</w:t>
            </w:r>
          </w:p>
        </w:tc>
        <w:tc>
          <w:tcPr>
            <w:tcW w:type="dxa" w:w="24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parking_orders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M7 车主端首页</w:t>
            </w:r>
          </w:p>
        </w:tc>
        <w:tc>
          <w:tcPr>
            <w:tcW w:type="dxa" w:w="26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/</w:t>
            </w:r>
          </w:p>
        </w:tc>
        <w:tc>
          <w:tcPr>
            <w:tcW w:type="dxa" w:w="2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GET /api/home/stats</w:t>
            </w:r>
          </w:p>
        </w:tc>
        <w:tc>
          <w:tcPr>
            <w:tcW w:type="dxa" w:w="24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聚合多表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M8 运营后台</w:t>
            </w:r>
          </w:p>
        </w:tc>
        <w:tc>
          <w:tcPr>
            <w:tcW w:type="dxa" w:w="26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/admin/dashboard</w:t>
            </w:r>
          </w:p>
        </w:tc>
        <w:tc>
          <w:tcPr>
            <w:tcW w:type="dxa" w:w="2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GET /api/admin/*</w:t>
            </w:r>
          </w:p>
        </w:tc>
        <w:tc>
          <w:tcPr>
            <w:tcW w:type="dxa" w:w="24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多表统计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M9 数据看板</w:t>
            </w:r>
          </w:p>
        </w:tc>
        <w:tc>
          <w:tcPr>
            <w:tcW w:type="dxa" w:w="26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/admin/analytics</w:t>
            </w:r>
          </w:p>
        </w:tc>
        <w:tc>
          <w:tcPr>
            <w:tcW w:type="dxa" w:w="2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GET /api/analytics/*</w:t>
            </w:r>
          </w:p>
        </w:tc>
        <w:tc>
          <w:tcPr>
            <w:tcW w:type="dxa" w:w="24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多表统计</w:t>
            </w:r>
          </w:p>
        </w:tc>
      </w:tr>
    </w:tbl>
    <w:p/>
    <w:p>
      <w:pPr>
        <w:pStyle w:val="Heading1"/>
      </w:pPr>
      <w:r>
        <w:t>四、数据库设计</w:t>
      </w:r>
    </w:p>
    <w:p>
      <w:pPr>
        <w:spacing w:line="283" w:lineRule="auto" w:after="120"/>
        <w:ind w:firstLine="440"/>
      </w:pPr>
      <w:r>
        <w:rPr>
          <w:rFonts w:ascii="Calibri" w:hAnsi="Calibri" w:eastAsia="Microsoft YaHei"/>
          <w:color w:val="232323"/>
          <w:sz w:val="22"/>
        </w:rPr>
        <w:t>数据库使用SQLite，共8张核心表（含扩展预留）：</w:t>
      </w:r>
    </w:p>
    <w:tbl>
      <w:tblPr>
        <w:tblW w:type="dxa" w:w="960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9C6D3"/>
          <w:left w:val="single" w:sz="6" w:space="0" w:color="B9C6D3"/>
          <w:bottom w:val="single" w:sz="6" w:space="0" w:color="B9C6D3"/>
          <w:right w:val="single" w:sz="6" w:space="0" w:color="B9C6D3"/>
          <w:insideH w:val="single" w:sz="6" w:space="0" w:color="B9C6D3"/>
          <w:insideV w:val="single" w:sz="6" w:space="0" w:color="B9C6D3"/>
        </w:tblBorders>
      </w:tblPr>
      <w:tblGrid>
        <w:gridCol w:w="1800"/>
        <w:gridCol w:w="2200"/>
        <w:gridCol w:w="5600"/>
      </w:tblGrid>
      <w:tr>
        <w:tc>
          <w:tcPr>
            <w:tcW w:type="dxa" w:w="18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AF2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C436E"/>
                <w:sz w:val="19"/>
              </w:rPr>
              <w:t>表名</w:t>
            </w:r>
          </w:p>
        </w:tc>
        <w:tc>
          <w:tcPr>
            <w:tcW w:type="dxa" w:w="22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AF2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C436E"/>
                <w:sz w:val="19"/>
              </w:rPr>
              <w:t>用途</w:t>
            </w:r>
          </w:p>
        </w:tc>
        <w:tc>
          <w:tcPr>
            <w:tcW w:type="dxa" w:w="56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AF2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C436E"/>
                <w:sz w:val="19"/>
              </w:rPr>
              <w:t>核心字段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users</w:t>
            </w:r>
          </w:p>
        </w:tc>
        <w:tc>
          <w:tcPr>
            <w:tcW w:type="dxa" w:w="22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用户表</w:t>
            </w:r>
          </w:p>
        </w:tc>
        <w:tc>
          <w:tcPr>
            <w:tcW w:type="dxa" w:w="56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id, username, password_hash, phone, role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parking_lots</w:t>
            </w:r>
          </w:p>
        </w:tc>
        <w:tc>
          <w:tcPr>
            <w:tcW w:type="dxa" w:w="22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停车场表</w:t>
            </w:r>
          </w:p>
        </w:tc>
        <w:tc>
          <w:tcPr>
            <w:tcW w:type="dxa" w:w="56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id, name, address, total_spots, rate_per_hour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parking_spots</w:t>
            </w:r>
          </w:p>
        </w:tc>
        <w:tc>
          <w:tcPr>
            <w:tcW w:type="dxa" w:w="22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车位表</w:t>
            </w:r>
          </w:p>
        </w:tc>
        <w:tc>
          <w:tcPr>
            <w:tcW w:type="dxa" w:w="56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id, lot_id, spot_number, floor, zone, status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reservations</w:t>
            </w:r>
          </w:p>
        </w:tc>
        <w:tc>
          <w:tcPr>
            <w:tcW w:type="dxa" w:w="22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预约记录表</w:t>
            </w:r>
          </w:p>
        </w:tc>
        <w:tc>
          <w:tcPr>
            <w:tcW w:type="dxa" w:w="56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id, user_id, spot_id, status, expire_at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parking_orders</w:t>
            </w:r>
          </w:p>
        </w:tc>
        <w:tc>
          <w:tcPr>
            <w:tcW w:type="dxa" w:w="22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停车订单表</w:t>
            </w:r>
          </w:p>
        </w:tc>
        <w:tc>
          <w:tcPr>
            <w:tcW w:type="dxa" w:w="56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id, user_id, spot_id, entry_time, exit_time, amount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violations</w:t>
            </w:r>
          </w:p>
        </w:tc>
        <w:tc>
          <w:tcPr>
            <w:tcW w:type="dxa" w:w="22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违停记录表</w:t>
            </w:r>
          </w:p>
        </w:tc>
        <w:tc>
          <w:tcPr>
            <w:tcW w:type="dxa" w:w="56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id, lot_id, plate_number, description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shared_spots</w:t>
            </w:r>
          </w:p>
        </w:tc>
        <w:tc>
          <w:tcPr>
            <w:tcW w:type="dxa" w:w="22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共享车位表</w:t>
            </w:r>
          </w:p>
        </w:tc>
        <w:tc>
          <w:tcPr>
            <w:tcW w:type="dxa" w:w="56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id, owner_id, price_per_hour, available_days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devices</w:t>
            </w:r>
          </w:p>
        </w:tc>
        <w:tc>
          <w:tcPr>
            <w:tcW w:type="dxa" w:w="22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设备表(预留)</w:t>
            </w:r>
          </w:p>
        </w:tc>
        <w:tc>
          <w:tcPr>
            <w:tcW w:type="dxa" w:w="56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232323"/>
                <w:sz w:val="18"/>
              </w:rPr>
              <w:t>id, name, type, status, lot_id</w:t>
            </w:r>
          </w:p>
        </w:tc>
      </w:tr>
    </w:tbl>
    <w:p/>
    <w:p>
      <w:pPr>
        <w:spacing w:line="283" w:lineRule="auto" w:after="120"/>
        <w:ind w:firstLine="440"/>
      </w:pPr>
      <w:r>
        <w:rPr>
          <w:rFonts w:ascii="Calibri" w:hAnsi="Calibri" w:eastAsia="Microsoft YaHei"/>
          <w:color w:val="232323"/>
          <w:sz w:val="22"/>
        </w:rPr>
        <w:t>索引设计：username唯一索引、(lot_id, status)复合索引、(user_id, status)复合索引、expire_at定时扫描索引等。</w:t>
      </w:r>
    </w:p>
    <w:p>
      <w:pPr>
        <w:pStyle w:val="Heading1"/>
      </w:pPr>
      <w:r>
        <w:t>五、接口设计</w:t>
      </w:r>
    </w:p>
    <w:p>
      <w:pPr>
        <w:spacing w:line="283" w:lineRule="auto" w:after="120"/>
        <w:ind w:firstLine="440"/>
      </w:pPr>
      <w:r>
        <w:rPr>
          <w:rFonts w:ascii="Calibri" w:hAnsi="Calibri" w:eastAsia="Microsoft YaHei"/>
          <w:color w:val="232323"/>
          <w:sz w:val="22"/>
        </w:rPr>
        <w:t>API统一返回格式：{code: 200, msg: "success", data: {}}。分页格式：{items, total, page, page_size}。</w:t>
      </w:r>
    </w:p>
    <w:p>
      <w:pPr>
        <w:spacing w:line="283" w:lineRule="auto" w:after="120"/>
        <w:ind w:firstLine="440"/>
      </w:pPr>
      <w:r>
        <w:rPr>
          <w:rFonts w:ascii="Calibri" w:hAnsi="Calibri" w:eastAsia="Microsoft YaHei"/>
          <w:color w:val="232323"/>
          <w:sz w:val="22"/>
        </w:rPr>
        <w:t>API端点总计40+个，分为8个模块：认证(6个)、车场(7个)、车位(3个)、预约(5个)、订单(4个)、记录(3个)、管理(5个)、分析(6个)。</w:t>
      </w:r>
    </w:p>
    <w:p>
      <w:pPr>
        <w:pStyle w:val="Heading1"/>
      </w:pPr>
      <w:r>
        <w:t>六、前端设计</w:t>
      </w:r>
    </w:p>
    <w:p>
      <w:pPr>
        <w:spacing w:line="283" w:lineRule="auto" w:after="120"/>
        <w:ind w:firstLine="440"/>
      </w:pPr>
      <w:r>
        <w:rPr>
          <w:rFonts w:ascii="Calibri" w:hAnsi="Calibri" w:eastAsia="Microsoft YaHei"/>
          <w:color w:val="232323"/>
          <w:sz w:val="22"/>
        </w:rPr>
        <w:t>前端路由：车主端13条路由 + 管理端9条路由。组件树分为layouts/（布局层）、components/（公共组件层）、views/（页面层）、stores/（Pinia状态管理）、api/（Axios请求层）。</w:t>
      </w:r>
    </w:p>
    <w:p>
      <w:pPr>
        <w:spacing w:line="283" w:lineRule="auto" w:after="120"/>
        <w:ind w:firstLine="440"/>
      </w:pPr>
      <w:r>
        <w:rPr>
          <w:rFonts w:ascii="Calibri" w:hAnsi="Calibri" w:eastAsia="Microsoft YaHei"/>
          <w:color w:val="232323"/>
          <w:sz w:val="22"/>
        </w:rPr>
        <w:t>状态管理（Pinia）：auth（用户登录状态）、parking（停车场和车位数据）、admin（管理端统计数据）。</w:t>
      </w:r>
    </w:p>
    <w:p>
      <w:pPr>
        <w:pStyle w:val="Heading1"/>
      </w:pPr>
      <w:r>
        <w:t>七、后端设计</w:t>
      </w:r>
    </w:p>
    <w:p>
      <w:pPr>
        <w:spacing w:line="283" w:lineRule="auto" w:after="120"/>
        <w:ind w:firstLine="440"/>
      </w:pPr>
      <w:r>
        <w:rPr>
          <w:rFonts w:ascii="Calibri" w:hAnsi="Calibri" w:eastAsia="Microsoft YaHei"/>
          <w:color w:val="232323"/>
          <w:sz w:val="22"/>
        </w:rPr>
        <w:t>后端目录结构：main.py（入口）、config.py（配置）、database.py（数据库连接）、models/（SQLAlchemy模型）、schemas/（Pydantic模型）、routers/（API路由）、services/（业务逻辑层）、middleware/（认证中间件）、utils/（工具函数）、seed_data.py（模拟数据初始化）。</w:t>
      </w:r>
    </w:p>
    <w:p>
      <w:pPr>
        <w:pStyle w:val="Heading1"/>
      </w:pPr>
      <w:r>
        <w:t>八、部署架构</w:t>
      </w:r>
    </w:p>
    <w:p>
      <w:pPr>
        <w:spacing w:line="283" w:lineRule="auto" w:after="120"/>
        <w:ind w:firstLine="440"/>
      </w:pPr>
      <w:r>
        <w:rPr>
          <w:rFonts w:ascii="Calibri" w:hAnsi="Calibri" w:eastAsia="Microsoft YaHei"/>
          <w:color w:val="232323"/>
          <w:sz w:val="22"/>
        </w:rPr>
        <w:t>开发环境：前端Vite Dev Server（localhost:5173）+ 后端Uvicorn（localhost:8000）+ SQLite文件数据库（smartpark.db）。</w:t>
      </w:r>
    </w:p>
    <w:p>
      <w:pPr>
        <w:spacing w:line="283" w:lineRule="auto" w:after="120"/>
        <w:ind w:firstLine="440"/>
      </w:pPr>
      <w:r>
        <w:rPr>
          <w:rFonts w:ascii="Calibri" w:hAnsi="Calibri" w:eastAsia="Microsoft YaHei"/>
          <w:color w:val="232323"/>
          <w:sz w:val="22"/>
        </w:rPr>
        <w:t>启动方式：后端 pip install → python seed_data.py → uvicorn main:app --reload；前端 npm install → npm run dev。</w:t>
      </w:r>
    </w:p>
    <w:p>
      <w:pPr>
        <w:pStyle w:val="Heading1"/>
      </w:pPr>
      <w:r>
        <w:t>九、安全设计</w:t>
      </w:r>
    </w:p>
    <w:p>
      <w:pPr>
        <w:pStyle w:val="ListBullet"/>
        <w:spacing w:after="80" w:line="276" w:lineRule="auto"/>
      </w:pPr>
      <w:r>
        <w:rPr>
          <w:rFonts w:ascii="Calibri" w:hAnsi="Calibri" w:eastAsia="Microsoft YaHei"/>
          <w:color w:val="232323"/>
          <w:sz w:val="21"/>
        </w:rPr>
        <w:t>密码安全：bcrypt哈希存储，不可逆</w:t>
      </w:r>
    </w:p>
    <w:p>
      <w:pPr>
        <w:pStyle w:val="ListBullet"/>
        <w:spacing w:after="80" w:line="276" w:lineRule="auto"/>
      </w:pPr>
      <w:r>
        <w:rPr>
          <w:rFonts w:ascii="Calibri" w:hAnsi="Calibri" w:eastAsia="Microsoft YaHei"/>
          <w:color w:val="232323"/>
          <w:sz w:val="21"/>
        </w:rPr>
        <w:t>认证安全：Session管理，24小时过期</w:t>
      </w:r>
    </w:p>
    <w:p>
      <w:pPr>
        <w:pStyle w:val="ListBullet"/>
        <w:spacing w:after="80" w:line="276" w:lineRule="auto"/>
      </w:pPr>
      <w:r>
        <w:rPr>
          <w:rFonts w:ascii="Calibri" w:hAnsi="Calibri" w:eastAsia="Microsoft YaHei"/>
          <w:color w:val="232323"/>
          <w:sz w:val="21"/>
        </w:rPr>
        <w:t>接口安全：所有API校验登录态，管理接口校验角色</w:t>
      </w:r>
    </w:p>
    <w:p>
      <w:pPr>
        <w:pStyle w:val="ListBullet"/>
        <w:spacing w:after="80" w:line="276" w:lineRule="auto"/>
      </w:pPr>
      <w:r>
        <w:rPr>
          <w:rFonts w:ascii="Calibri" w:hAnsi="Calibri" w:eastAsia="Microsoft YaHei"/>
          <w:color w:val="232323"/>
          <w:sz w:val="21"/>
        </w:rPr>
        <w:t>数据安全：SQLAlchemy参数化查询，防SQL注入</w:t>
      </w:r>
    </w:p>
    <w:p>
      <w:pPr>
        <w:pStyle w:val="ListBullet"/>
        <w:spacing w:after="80" w:line="276" w:lineRule="auto"/>
      </w:pPr>
      <w:r>
        <w:rPr>
          <w:rFonts w:ascii="Calibri" w:hAnsi="Calibri" w:eastAsia="Microsoft YaHei"/>
          <w:color w:val="232323"/>
          <w:sz w:val="21"/>
        </w:rPr>
        <w:t>输入校验：Pydantic模型校验 + Element Plus表单校验</w:t>
      </w:r>
    </w:p>
    <w:p>
      <w:pPr>
        <w:pStyle w:val="Heading1"/>
      </w:pPr>
      <w:r>
        <w:t>十、设计评审结论</w:t>
      </w:r>
    </w:p>
    <w:p>
      <w:pPr>
        <w:spacing w:line="283" w:lineRule="auto" w:after="120"/>
        <w:ind w:firstLine="440"/>
      </w:pPr>
      <w:r>
        <w:rPr>
          <w:rFonts w:ascii="Calibri" w:hAnsi="Calibri" w:eastAsia="Microsoft YaHei"/>
          <w:color w:val="232323"/>
          <w:sz w:val="22"/>
        </w:rPr>
        <w:t>评审日期：2026年6月2日 | 评审方式：小组设计评审会议（全员参与）</w:t>
      </w:r>
    </w:p>
    <w:p>
      <w:pPr>
        <w:spacing w:line="283" w:lineRule="auto" w:after="120"/>
        <w:ind w:firstLine="440"/>
      </w:pPr>
      <w:r>
        <w:rPr>
          <w:rFonts w:ascii="Calibri" w:hAnsi="Calibri" w:eastAsia="Microsoft YaHei"/>
          <w:color w:val="232323"/>
          <w:sz w:val="22"/>
        </w:rPr>
        <w:t>评审发现6项建议/确认项，全部处理闭合。评审结论：✅ 通过。架构合理性、技术可行性、可扩展性、安全性均已满足。</w:t>
      </w:r>
    </w:p>
    <w:p>
      <w:pPr>
        <w:spacing w:line="283" w:lineRule="auto" w:after="120"/>
        <w:ind w:firstLine="440"/>
      </w:pPr>
      <w:r>
        <w:rPr>
          <w:rFonts w:ascii="Calibri" w:hAnsi="Calibri" w:eastAsia="Microsoft YaHei"/>
          <w:color w:val="232323"/>
          <w:sz w:val="22"/>
        </w:rPr>
        <w:t>评审角色：SA（程晓洋）→ RA（程子浩）→ PM（丁梓钊）→ 全员评审</w:t>
      </w:r>
    </w:p>
    <w:p>
      <w:pPr>
        <w:spacing w:line="283" w:lineRule="auto" w:after="120"/>
        <w:ind w:firstLine="440"/>
      </w:pPr>
      <w:r>
        <w:rPr>
          <w:rFonts w:ascii="Calibri" w:hAnsi="Calibri" w:eastAsia="Microsoft YaHei"/>
          <w:color w:val="232323"/>
          <w:sz w:val="22"/>
        </w:rPr>
        <w:t>编制：第19组 | 2026年6月2日 | HLD V1.0</w:t>
      </w:r>
    </w:p>
    <w:sectPr w:rsidR="00FC693F" w:rsidRPr="0006063C" w:rsidSect="00034616">
      <w:footerReference w:type="default" r:id="rId9"/>
      <w:pgSz w:w="12240" w:h="15840"/>
      <w:pgMar w:top="1267" w:right="1296" w:bottom="1267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586069"/>
        <w:sz w:val="17"/>
      </w:rPr>
      <w:t>19组-程晓洋-系统设计 | HLD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45D9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C436E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C436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