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C83D39" w14:textId="77777777" w:rsidR="00FA1481" w:rsidRPr="00A47423" w:rsidRDefault="00664A12" w:rsidP="00E40896">
      <w:pPr>
        <w:jc w:val="center"/>
        <w:rPr>
          <w:sz w:val="36"/>
          <w:szCs w:val="36"/>
        </w:rPr>
      </w:pPr>
      <w:r w:rsidRPr="00A47423">
        <w:rPr>
          <w:noProof/>
          <w:sz w:val="36"/>
          <w:szCs w:val="36"/>
          <w:lang w:eastAsia="zh-CN"/>
        </w:rPr>
        <w:drawing>
          <wp:inline distT="0" distB="0" distL="0" distR="0" wp14:anchorId="6720CD11" wp14:editId="7067F797">
            <wp:extent cx="3200400" cy="609600"/>
            <wp:effectExtent l="0" t="0" r="0" b="0"/>
            <wp:docPr id="1" name="Picture 1" descr="agu_pubart-white_redu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u_pubart-white_reduc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609600"/>
                    </a:xfrm>
                    <a:prstGeom prst="rect">
                      <a:avLst/>
                    </a:prstGeom>
                    <a:noFill/>
                    <a:ln>
                      <a:noFill/>
                    </a:ln>
                  </pic:spPr>
                </pic:pic>
              </a:graphicData>
            </a:graphic>
          </wp:inline>
        </w:drawing>
      </w:r>
    </w:p>
    <w:p w14:paraId="7EE184DA" w14:textId="324D0629" w:rsidR="00CE6EAA" w:rsidRPr="00A47423" w:rsidRDefault="00E441FF" w:rsidP="00FF3503">
      <w:pPr>
        <w:spacing w:before="100" w:beforeAutospacing="1" w:after="100" w:afterAutospacing="1"/>
        <w:jc w:val="center"/>
        <w:rPr>
          <w:rFonts w:ascii="Myriad Pro" w:hAnsi="Myriad Pro"/>
          <w:i/>
          <w:sz w:val="22"/>
          <w:szCs w:val="22"/>
        </w:rPr>
      </w:pPr>
      <w:r w:rsidRPr="00A47423">
        <w:rPr>
          <w:rFonts w:ascii="Myriad Pro" w:hAnsi="Myriad Pro"/>
          <w:i/>
          <w:sz w:val="22"/>
          <w:szCs w:val="22"/>
        </w:rPr>
        <w:t>Journal of Geophysical Research: Solid Earth</w:t>
      </w:r>
    </w:p>
    <w:p w14:paraId="2CB29489" w14:textId="77777777" w:rsidR="00FF3503" w:rsidRPr="00A47423" w:rsidRDefault="00FF3503" w:rsidP="00FF3503">
      <w:pPr>
        <w:spacing w:before="100" w:beforeAutospacing="1" w:after="100" w:afterAutospacing="1"/>
        <w:jc w:val="center"/>
        <w:rPr>
          <w:rFonts w:ascii="Myriad Pro" w:hAnsi="Myriad Pro"/>
          <w:sz w:val="22"/>
          <w:szCs w:val="22"/>
        </w:rPr>
      </w:pPr>
      <w:r w:rsidRPr="00A47423">
        <w:rPr>
          <w:rFonts w:ascii="Myriad Pro" w:hAnsi="Myriad Pro"/>
          <w:sz w:val="22"/>
          <w:szCs w:val="22"/>
        </w:rPr>
        <w:t>Supporting Information for</w:t>
      </w:r>
    </w:p>
    <w:p w14:paraId="59F910A1" w14:textId="1618B796" w:rsidR="00FF3503" w:rsidRPr="00A47423" w:rsidRDefault="00E441FF" w:rsidP="00FF3503">
      <w:pPr>
        <w:spacing w:before="100" w:beforeAutospacing="1" w:after="100" w:afterAutospacing="1"/>
        <w:jc w:val="center"/>
        <w:rPr>
          <w:rFonts w:ascii="Myriad Pro" w:hAnsi="Myriad Pro"/>
          <w:b/>
          <w:sz w:val="22"/>
          <w:szCs w:val="22"/>
        </w:rPr>
      </w:pPr>
      <w:r w:rsidRPr="00A47423">
        <w:rPr>
          <w:rFonts w:ascii="Myriad Pro" w:hAnsi="Myriad Pro"/>
          <w:b/>
          <w:sz w:val="22"/>
          <w:szCs w:val="22"/>
        </w:rPr>
        <w:t xml:space="preserve">A framework for pore-scale simulation of electrical conductivity and permittivity of porous media in the frequency range from 1 </w:t>
      </w:r>
      <w:proofErr w:type="spellStart"/>
      <w:r w:rsidRPr="00A47423">
        <w:rPr>
          <w:rFonts w:ascii="Myriad Pro" w:hAnsi="Myriad Pro"/>
          <w:b/>
          <w:sz w:val="22"/>
          <w:szCs w:val="22"/>
        </w:rPr>
        <w:t>mHz</w:t>
      </w:r>
      <w:proofErr w:type="spellEnd"/>
      <w:r w:rsidRPr="00A47423">
        <w:rPr>
          <w:rFonts w:ascii="Myriad Pro" w:hAnsi="Myriad Pro"/>
          <w:b/>
          <w:sz w:val="22"/>
          <w:szCs w:val="22"/>
        </w:rPr>
        <w:t xml:space="preserve"> to 1 GHz</w:t>
      </w:r>
    </w:p>
    <w:p w14:paraId="42FFC78E" w14:textId="06C70911" w:rsidR="00FF3503" w:rsidRPr="00A47423" w:rsidRDefault="00E441FF" w:rsidP="00FF3503">
      <w:pPr>
        <w:spacing w:before="100" w:beforeAutospacing="1" w:after="100" w:afterAutospacing="1"/>
        <w:jc w:val="center"/>
        <w:rPr>
          <w:rFonts w:ascii="Myriad Pro" w:hAnsi="Myriad Pro"/>
          <w:sz w:val="22"/>
          <w:szCs w:val="22"/>
        </w:rPr>
      </w:pPr>
      <w:r w:rsidRPr="00A47423">
        <w:rPr>
          <w:rFonts w:ascii="Myriad Pro" w:hAnsi="Myriad Pro"/>
          <w:sz w:val="22"/>
          <w:szCs w:val="22"/>
        </w:rPr>
        <w:t>Qifei Niu</w:t>
      </w:r>
      <w:r w:rsidRPr="00A47423">
        <w:rPr>
          <w:rFonts w:ascii="Myriad Pro" w:hAnsi="Myriad Pro"/>
          <w:sz w:val="22"/>
          <w:szCs w:val="22"/>
          <w:vertAlign w:val="superscript"/>
        </w:rPr>
        <w:t>1</w:t>
      </w:r>
      <w:r w:rsidRPr="00A47423">
        <w:rPr>
          <w:rFonts w:ascii="Myriad Pro" w:hAnsi="Myriad Pro"/>
          <w:sz w:val="22"/>
          <w:szCs w:val="22"/>
        </w:rPr>
        <w:t>, Chi Zhang</w:t>
      </w:r>
      <w:r w:rsidRPr="00A47423">
        <w:rPr>
          <w:rFonts w:ascii="Myriad Pro" w:hAnsi="Myriad Pro"/>
          <w:sz w:val="22"/>
          <w:szCs w:val="22"/>
          <w:vertAlign w:val="superscript"/>
        </w:rPr>
        <w:t>2</w:t>
      </w:r>
      <w:r w:rsidRPr="00A47423">
        <w:rPr>
          <w:rFonts w:ascii="Myriad Pro" w:hAnsi="Myriad Pro"/>
          <w:sz w:val="22"/>
          <w:szCs w:val="22"/>
        </w:rPr>
        <w:t xml:space="preserve">, and </w:t>
      </w:r>
      <w:proofErr w:type="spellStart"/>
      <w:r w:rsidRPr="00A47423">
        <w:rPr>
          <w:rFonts w:ascii="Myriad Pro" w:hAnsi="Myriad Pro"/>
          <w:sz w:val="22"/>
          <w:szCs w:val="22"/>
        </w:rPr>
        <w:t>Manika</w:t>
      </w:r>
      <w:proofErr w:type="spellEnd"/>
      <w:r w:rsidRPr="00A47423">
        <w:rPr>
          <w:rFonts w:ascii="Myriad Pro" w:hAnsi="Myriad Pro"/>
          <w:sz w:val="22"/>
          <w:szCs w:val="22"/>
        </w:rPr>
        <w:t xml:space="preserve"> Prasad</w:t>
      </w:r>
      <w:r w:rsidRPr="00A47423">
        <w:rPr>
          <w:rFonts w:ascii="Myriad Pro" w:hAnsi="Myriad Pro"/>
          <w:sz w:val="22"/>
          <w:szCs w:val="22"/>
          <w:vertAlign w:val="superscript"/>
        </w:rPr>
        <w:t>3</w:t>
      </w:r>
    </w:p>
    <w:p w14:paraId="69976EF8" w14:textId="11C0DF31" w:rsidR="00B77E40" w:rsidRPr="00A47423" w:rsidRDefault="00E441FF" w:rsidP="00E441FF">
      <w:pPr>
        <w:spacing w:before="100" w:beforeAutospacing="1" w:after="100" w:afterAutospacing="1"/>
        <w:jc w:val="center"/>
        <w:rPr>
          <w:rFonts w:ascii="Myriad Pro" w:hAnsi="Myriad Pro"/>
          <w:sz w:val="18"/>
          <w:szCs w:val="18"/>
        </w:rPr>
      </w:pPr>
      <w:r w:rsidRPr="00A47423">
        <w:rPr>
          <w:rFonts w:ascii="Myriad Pro" w:hAnsi="Myriad Pro"/>
          <w:sz w:val="18"/>
          <w:szCs w:val="18"/>
          <w:vertAlign w:val="superscript"/>
        </w:rPr>
        <w:t>1</w:t>
      </w:r>
      <w:r w:rsidRPr="00A47423">
        <w:rPr>
          <w:rFonts w:ascii="Myriad Pro" w:hAnsi="Myriad Pro"/>
          <w:sz w:val="18"/>
          <w:szCs w:val="18"/>
        </w:rPr>
        <w:t xml:space="preserve"> Department of Geosciences, Boise State University, Boise, Idaho, USA; </w:t>
      </w:r>
      <w:r w:rsidRPr="00A47423">
        <w:rPr>
          <w:rFonts w:ascii="Myriad Pro" w:hAnsi="Myriad Pro"/>
          <w:sz w:val="18"/>
          <w:szCs w:val="18"/>
          <w:vertAlign w:val="superscript"/>
        </w:rPr>
        <w:t>2</w:t>
      </w:r>
      <w:r w:rsidRPr="00A47423">
        <w:rPr>
          <w:rFonts w:ascii="Myriad Pro" w:hAnsi="Myriad Pro"/>
          <w:sz w:val="18"/>
          <w:szCs w:val="18"/>
        </w:rPr>
        <w:t xml:space="preserve"> Department of Geology, The University of Kansas, Lawrence, Kansas, USA; </w:t>
      </w:r>
      <w:r w:rsidRPr="00A47423">
        <w:rPr>
          <w:rFonts w:ascii="Myriad Pro" w:hAnsi="Myriad Pro"/>
          <w:sz w:val="18"/>
          <w:szCs w:val="18"/>
          <w:vertAlign w:val="superscript"/>
        </w:rPr>
        <w:t>3</w:t>
      </w:r>
      <w:r w:rsidRPr="00A47423">
        <w:rPr>
          <w:rFonts w:ascii="Myriad Pro" w:hAnsi="Myriad Pro"/>
          <w:sz w:val="18"/>
          <w:szCs w:val="18"/>
        </w:rPr>
        <w:t xml:space="preserve"> Department of Geophysics, Colorado School of Mines, Golden, Colorado, USA</w:t>
      </w:r>
    </w:p>
    <w:p w14:paraId="347237BD" w14:textId="77777777" w:rsidR="00094365" w:rsidRPr="00A47423" w:rsidRDefault="00094365" w:rsidP="000B2E64">
      <w:pPr>
        <w:spacing w:before="100" w:beforeAutospacing="1" w:after="100" w:afterAutospacing="1"/>
        <w:jc w:val="center"/>
        <w:rPr>
          <w:rFonts w:ascii="Myriad Pro" w:hAnsi="Myriad Pro"/>
          <w:sz w:val="22"/>
          <w:szCs w:val="22"/>
        </w:rPr>
      </w:pPr>
    </w:p>
    <w:p w14:paraId="1CD128B3" w14:textId="77777777" w:rsidR="00111843" w:rsidRPr="00A47423" w:rsidRDefault="00111843" w:rsidP="00111843">
      <w:pPr>
        <w:rPr>
          <w:rFonts w:ascii="Myriad Pro" w:hAnsi="Myriad Pro"/>
          <w:b/>
        </w:rPr>
      </w:pPr>
      <w:r w:rsidRPr="00A47423">
        <w:rPr>
          <w:rFonts w:ascii="Myriad Pro" w:hAnsi="Myriad Pro"/>
          <w:b/>
        </w:rPr>
        <w:t>Contents of this file</w:t>
      </w:r>
      <w:r w:rsidR="00E43D2D" w:rsidRPr="00A47423">
        <w:rPr>
          <w:rFonts w:ascii="Myriad Pro" w:hAnsi="Myriad Pro"/>
          <w:b/>
        </w:rPr>
        <w:t xml:space="preserve"> </w:t>
      </w:r>
    </w:p>
    <w:p w14:paraId="1F13291B" w14:textId="77777777" w:rsidR="00E43D2D" w:rsidRPr="00A47423" w:rsidRDefault="00E43D2D" w:rsidP="00111843">
      <w:pPr>
        <w:rPr>
          <w:rFonts w:ascii="Myriad Pro" w:hAnsi="Myriad Pro"/>
        </w:rPr>
      </w:pPr>
    </w:p>
    <w:p w14:paraId="3D1CAEA0" w14:textId="1E550615" w:rsidR="00111843" w:rsidRPr="00A47423" w:rsidRDefault="00111843" w:rsidP="00111843">
      <w:pPr>
        <w:ind w:left="720"/>
        <w:rPr>
          <w:rFonts w:ascii="Myriad Pro" w:hAnsi="Myriad Pro"/>
          <w:sz w:val="22"/>
          <w:szCs w:val="22"/>
        </w:rPr>
      </w:pPr>
      <w:r w:rsidRPr="00A47423">
        <w:rPr>
          <w:rFonts w:ascii="Myriad Pro" w:hAnsi="Myriad Pro"/>
          <w:sz w:val="22"/>
          <w:szCs w:val="22"/>
        </w:rPr>
        <w:t>Text S1 to S</w:t>
      </w:r>
      <w:r w:rsidR="001A34B0" w:rsidRPr="00A47423">
        <w:rPr>
          <w:rFonts w:ascii="Myriad Pro" w:hAnsi="Myriad Pro"/>
          <w:sz w:val="22"/>
          <w:szCs w:val="22"/>
        </w:rPr>
        <w:t>1</w:t>
      </w:r>
    </w:p>
    <w:p w14:paraId="10640459" w14:textId="59E7EC1A" w:rsidR="00111843" w:rsidRPr="00A47423" w:rsidRDefault="00111843" w:rsidP="00111843">
      <w:pPr>
        <w:ind w:left="720"/>
        <w:rPr>
          <w:rFonts w:ascii="Myriad Pro" w:hAnsi="Myriad Pro"/>
          <w:sz w:val="22"/>
          <w:szCs w:val="22"/>
        </w:rPr>
      </w:pPr>
      <w:r w:rsidRPr="00A47423">
        <w:rPr>
          <w:rFonts w:ascii="Myriad Pro" w:hAnsi="Myriad Pro"/>
          <w:sz w:val="22"/>
          <w:szCs w:val="22"/>
        </w:rPr>
        <w:t>Figures S1 to S</w:t>
      </w:r>
      <w:r w:rsidR="001A34B0" w:rsidRPr="00A47423">
        <w:rPr>
          <w:rFonts w:ascii="Myriad Pro" w:hAnsi="Myriad Pro"/>
          <w:sz w:val="22"/>
          <w:szCs w:val="22"/>
        </w:rPr>
        <w:t>1</w:t>
      </w:r>
    </w:p>
    <w:p w14:paraId="79042C92" w14:textId="77777777" w:rsidR="00FF3503" w:rsidRPr="00A47423" w:rsidRDefault="00FF3503" w:rsidP="00FF3503">
      <w:pPr>
        <w:spacing w:before="100" w:beforeAutospacing="1" w:after="100" w:afterAutospacing="1"/>
        <w:rPr>
          <w:rFonts w:ascii="Myriad Pro" w:hAnsi="Myriad Pro"/>
          <w:b/>
          <w:szCs w:val="24"/>
        </w:rPr>
      </w:pPr>
      <w:r w:rsidRPr="00A47423">
        <w:rPr>
          <w:rFonts w:ascii="Myriad Pro" w:hAnsi="Myriad Pro"/>
          <w:b/>
          <w:bCs/>
          <w:szCs w:val="24"/>
        </w:rPr>
        <w:t>Introduction</w:t>
      </w:r>
      <w:r w:rsidRPr="00A47423">
        <w:rPr>
          <w:rFonts w:ascii="Myriad Pro" w:hAnsi="Myriad Pro"/>
          <w:b/>
          <w:szCs w:val="24"/>
        </w:rPr>
        <w:t xml:space="preserve"> </w:t>
      </w:r>
    </w:p>
    <w:p w14:paraId="218F825A" w14:textId="0FC620A1" w:rsidR="00FF3503" w:rsidRPr="00A47423" w:rsidRDefault="00E936A8" w:rsidP="00AC6905">
      <w:pPr>
        <w:spacing w:before="100" w:beforeAutospacing="1" w:after="100" w:afterAutospacing="1"/>
        <w:rPr>
          <w:rFonts w:ascii="Myriad Pro" w:hAnsi="Myriad Pro"/>
          <w:sz w:val="22"/>
          <w:szCs w:val="22"/>
        </w:rPr>
      </w:pPr>
      <w:r w:rsidRPr="00A47423">
        <w:rPr>
          <w:rFonts w:ascii="Myriad Pro" w:hAnsi="Myriad Pro"/>
          <w:sz w:val="22"/>
          <w:szCs w:val="22"/>
        </w:rPr>
        <w:t xml:space="preserve">This supporting information explains the microstructural models that are commonly used in simulating the effective conductivity and permittivity of porous geological materials. </w:t>
      </w:r>
      <w:r w:rsidR="00E131D9" w:rsidRPr="00A47423">
        <w:rPr>
          <w:rFonts w:ascii="Myriad Pro" w:hAnsi="Myriad Pro"/>
          <w:sz w:val="22"/>
          <w:szCs w:val="22"/>
        </w:rPr>
        <w:t>They may be used to support the description of existing electrochemical polarizations in the main text.</w:t>
      </w:r>
    </w:p>
    <w:p w14:paraId="667D8CA8" w14:textId="3EDE74DD" w:rsidR="00015F74" w:rsidRPr="00A47423" w:rsidRDefault="00015F74" w:rsidP="00B9440A">
      <w:pPr>
        <w:pStyle w:val="SMHeading"/>
        <w:rPr>
          <w:rFonts w:ascii="Myriad Pro" w:hAnsi="Myriad Pro"/>
          <w:sz w:val="22"/>
          <w:szCs w:val="22"/>
        </w:rPr>
      </w:pPr>
      <w:r w:rsidRPr="00A47423">
        <w:rPr>
          <w:rFonts w:ascii="Myriad Pro" w:hAnsi="Myriad Pro"/>
          <w:sz w:val="22"/>
          <w:szCs w:val="22"/>
        </w:rPr>
        <w:t>Text</w:t>
      </w:r>
      <w:r w:rsidR="00D60BB0" w:rsidRPr="00A47423">
        <w:rPr>
          <w:rFonts w:ascii="Myriad Pro" w:hAnsi="Myriad Pro"/>
          <w:sz w:val="22"/>
          <w:szCs w:val="22"/>
        </w:rPr>
        <w:t xml:space="preserve"> S1</w:t>
      </w:r>
      <w:r w:rsidR="00BF76AE" w:rsidRPr="00A47423">
        <w:rPr>
          <w:rFonts w:ascii="Myriad Pro" w:hAnsi="Myriad Pro"/>
          <w:sz w:val="22"/>
          <w:szCs w:val="22"/>
        </w:rPr>
        <w:t>. Microstructural assumptions of electrochemical polarization models</w:t>
      </w:r>
    </w:p>
    <w:p w14:paraId="337EF89A" w14:textId="71B0EB7E" w:rsidR="00E97B7D" w:rsidRPr="00A47423" w:rsidRDefault="00E97B7D" w:rsidP="00E97B7D">
      <w:pPr>
        <w:pStyle w:val="SMText"/>
        <w:rPr>
          <w:rFonts w:ascii="Myriad Pro" w:hAnsi="Myriad Pro"/>
          <w:sz w:val="22"/>
          <w:szCs w:val="22"/>
        </w:rPr>
      </w:pPr>
      <w:r w:rsidRPr="00A47423">
        <w:rPr>
          <w:rFonts w:ascii="Myriad Pro" w:hAnsi="Myriad Pro"/>
          <w:sz w:val="22"/>
          <w:szCs w:val="22"/>
        </w:rPr>
        <w:t xml:space="preserve">The microstructure of geological materials is usually very complex due to various geological processes. Figure </w:t>
      </w:r>
      <w:r w:rsidR="000250D7" w:rsidRPr="00A47423">
        <w:rPr>
          <w:rFonts w:ascii="Myriad Pro" w:hAnsi="Myriad Pro"/>
          <w:sz w:val="22"/>
          <w:szCs w:val="22"/>
        </w:rPr>
        <w:t>S</w:t>
      </w:r>
      <w:r w:rsidRPr="00A47423">
        <w:rPr>
          <w:rFonts w:ascii="Myriad Pro" w:hAnsi="Myriad Pro"/>
          <w:sz w:val="22"/>
          <w:szCs w:val="22"/>
        </w:rPr>
        <w:t xml:space="preserve">1a </w:t>
      </w:r>
      <w:r w:rsidR="008019FB" w:rsidRPr="00A47423">
        <w:rPr>
          <w:rFonts w:ascii="Myriad Pro" w:hAnsi="Myriad Pro"/>
          <w:sz w:val="22"/>
          <w:szCs w:val="22"/>
        </w:rPr>
        <w:t xml:space="preserve">demonstrates the complex microstructure </w:t>
      </w:r>
      <w:r w:rsidRPr="00A47423">
        <w:rPr>
          <w:rFonts w:ascii="Myriad Pro" w:hAnsi="Myriad Pro"/>
          <w:sz w:val="22"/>
          <w:szCs w:val="22"/>
        </w:rPr>
        <w:t>of a</w:t>
      </w:r>
      <w:r w:rsidR="00531E8B" w:rsidRPr="00A47423">
        <w:rPr>
          <w:rFonts w:ascii="Myriad Pro" w:hAnsi="Myriad Pro"/>
          <w:sz w:val="22"/>
          <w:szCs w:val="22"/>
        </w:rPr>
        <w:t xml:space="preserve">n imagined </w:t>
      </w:r>
      <w:r w:rsidR="008019FB" w:rsidRPr="00A47423">
        <w:rPr>
          <w:rFonts w:ascii="Myriad Pro" w:hAnsi="Myriad Pro"/>
          <w:sz w:val="22"/>
          <w:szCs w:val="22"/>
        </w:rPr>
        <w:t xml:space="preserve">porous geological material </w:t>
      </w:r>
      <w:r w:rsidRPr="00A47423">
        <w:rPr>
          <w:rFonts w:ascii="Myriad Pro" w:hAnsi="Myriad Pro"/>
          <w:sz w:val="22"/>
          <w:szCs w:val="22"/>
        </w:rPr>
        <w:t xml:space="preserve">saturated with water, where the solid phase is made of many grains with irregular shapes and varying sizes. Due to the complexity of the geometry of both phases, it is difficult to mathematically describe the geometric characteristics of the material (e.g., see </w:t>
      </w:r>
      <w:proofErr w:type="spellStart"/>
      <w:r w:rsidRPr="00A47423">
        <w:rPr>
          <w:rFonts w:ascii="Myriad Pro" w:hAnsi="Myriad Pro"/>
          <w:sz w:val="22"/>
          <w:szCs w:val="22"/>
        </w:rPr>
        <w:t>Torquato</w:t>
      </w:r>
      <w:proofErr w:type="spellEnd"/>
      <w:r w:rsidRPr="00A47423">
        <w:rPr>
          <w:rFonts w:ascii="Myriad Pro" w:hAnsi="Myriad Pro"/>
          <w:sz w:val="22"/>
          <w:szCs w:val="22"/>
        </w:rPr>
        <w:t>, 2013) in modelling their effective (or macroscopic) properties. Therefore, the complex microstructure is usually simplified in practice such that the geometric characteristics of the microstructure (e.g., porosity, pore/particle size and distribution, etc.) can be explicitly expressed.</w:t>
      </w:r>
    </w:p>
    <w:p w14:paraId="29140C9B" w14:textId="5BB90759" w:rsidR="00E97B7D" w:rsidRPr="00A47423" w:rsidRDefault="00E97B7D" w:rsidP="00D30E71">
      <w:pPr>
        <w:pStyle w:val="SMText"/>
        <w:jc w:val="both"/>
        <w:rPr>
          <w:rFonts w:ascii="Myriad Pro" w:hAnsi="Myriad Pro"/>
          <w:sz w:val="22"/>
          <w:szCs w:val="22"/>
        </w:rPr>
      </w:pPr>
      <w:r w:rsidRPr="00A47423">
        <w:rPr>
          <w:rFonts w:ascii="Myriad Pro" w:hAnsi="Myriad Pro"/>
          <w:sz w:val="22"/>
          <w:szCs w:val="22"/>
        </w:rPr>
        <w:t xml:space="preserve">Figures </w:t>
      </w:r>
      <w:r w:rsidR="00CF3186" w:rsidRPr="00A47423">
        <w:rPr>
          <w:rFonts w:ascii="Myriad Pro" w:hAnsi="Myriad Pro"/>
          <w:sz w:val="22"/>
          <w:szCs w:val="22"/>
        </w:rPr>
        <w:t>S</w:t>
      </w:r>
      <w:r w:rsidRPr="00A47423">
        <w:rPr>
          <w:rFonts w:ascii="Myriad Pro" w:hAnsi="Myriad Pro"/>
          <w:sz w:val="22"/>
          <w:szCs w:val="22"/>
        </w:rPr>
        <w:t xml:space="preserve">1b to </w:t>
      </w:r>
      <w:r w:rsidR="00CF3186" w:rsidRPr="00A47423">
        <w:rPr>
          <w:rFonts w:ascii="Myriad Pro" w:hAnsi="Myriad Pro"/>
          <w:sz w:val="22"/>
          <w:szCs w:val="22"/>
        </w:rPr>
        <w:t>S</w:t>
      </w:r>
      <w:r w:rsidRPr="00A47423">
        <w:rPr>
          <w:rFonts w:ascii="Myriad Pro" w:hAnsi="Myriad Pro"/>
          <w:sz w:val="22"/>
          <w:szCs w:val="22"/>
        </w:rPr>
        <w:t xml:space="preserve">1e summarize some simplified microstructural models often used in modelling the effective properties of porous geological media. In the grain model, it is assumed that the solid phase is made of grains with regular shapes, e.g., sphere (Figure </w:t>
      </w:r>
      <w:r w:rsidR="00CF3186" w:rsidRPr="00A47423">
        <w:rPr>
          <w:rFonts w:ascii="Myriad Pro" w:hAnsi="Myriad Pro"/>
          <w:sz w:val="22"/>
          <w:szCs w:val="22"/>
        </w:rPr>
        <w:lastRenderedPageBreak/>
        <w:t>S</w:t>
      </w:r>
      <w:r w:rsidRPr="00A47423">
        <w:rPr>
          <w:rFonts w:ascii="Myriad Pro" w:hAnsi="Myriad Pro"/>
          <w:sz w:val="22"/>
          <w:szCs w:val="22"/>
        </w:rPr>
        <w:t xml:space="preserve">1b). Geometric characteristics of the material such as porosity, particle size (distribution), and particle orientation (distribution) are easily determined in the model by considering the number, size, and orientation of individual grains. For the grain-water mixture in Figure </w:t>
      </w:r>
      <w:r w:rsidR="00CF3186" w:rsidRPr="00A47423">
        <w:rPr>
          <w:rFonts w:ascii="Myriad Pro" w:hAnsi="Myriad Pro"/>
          <w:sz w:val="22"/>
          <w:szCs w:val="22"/>
        </w:rPr>
        <w:t>S</w:t>
      </w:r>
      <w:r w:rsidRPr="00A47423">
        <w:rPr>
          <w:rFonts w:ascii="Myriad Pro" w:hAnsi="Myriad Pro"/>
          <w:sz w:val="22"/>
          <w:szCs w:val="22"/>
        </w:rPr>
        <w:t xml:space="preserve">1b, the effective properties can be analytically derived, for example, with the differential effective medium (DEM) theory (Sheng &amp; </w:t>
      </w:r>
      <w:proofErr w:type="spellStart"/>
      <w:r w:rsidRPr="00A47423">
        <w:rPr>
          <w:rFonts w:ascii="Myriad Pro" w:hAnsi="Myriad Pro"/>
          <w:sz w:val="22"/>
          <w:szCs w:val="22"/>
        </w:rPr>
        <w:t>Callegari</w:t>
      </w:r>
      <w:proofErr w:type="spellEnd"/>
      <w:r w:rsidRPr="00A47423">
        <w:rPr>
          <w:rFonts w:ascii="Myriad Pro" w:hAnsi="Myriad Pro"/>
          <w:sz w:val="22"/>
          <w:szCs w:val="22"/>
        </w:rPr>
        <w:t>, 1984). The grain model combined with DEM theory has successfully reproduced the power function in the empirical Archie’s law (Sen et al., 1981). Also, the cementation factor in Archie’s law has been theoretically linked to the shape and orientation of the grains (Mendelson &amp; Cohen, 1982).</w:t>
      </w:r>
    </w:p>
    <w:p w14:paraId="013455ED" w14:textId="668654B9" w:rsidR="00E97B7D" w:rsidRPr="00A47423" w:rsidRDefault="00E97B7D" w:rsidP="00E97B7D">
      <w:pPr>
        <w:pStyle w:val="SMText"/>
        <w:rPr>
          <w:rFonts w:ascii="Myriad Pro" w:hAnsi="Myriad Pro"/>
          <w:sz w:val="22"/>
          <w:szCs w:val="22"/>
        </w:rPr>
      </w:pPr>
      <w:r w:rsidRPr="00A47423">
        <w:rPr>
          <w:rFonts w:ascii="Myriad Pro" w:hAnsi="Myriad Pro"/>
          <w:sz w:val="22"/>
          <w:szCs w:val="22"/>
        </w:rPr>
        <w:t xml:space="preserve">In contrary to the grain model, the pore model (Figure </w:t>
      </w:r>
      <w:r w:rsidR="00600245" w:rsidRPr="00A47423">
        <w:rPr>
          <w:rFonts w:ascii="Myriad Pro" w:hAnsi="Myriad Pro"/>
          <w:sz w:val="22"/>
          <w:szCs w:val="22"/>
        </w:rPr>
        <w:t>S</w:t>
      </w:r>
      <w:r w:rsidRPr="00A47423">
        <w:rPr>
          <w:rFonts w:ascii="Myriad Pro" w:hAnsi="Myriad Pro"/>
          <w:sz w:val="22"/>
          <w:szCs w:val="22"/>
        </w:rPr>
        <w:t xml:space="preserve">1c) assumes the pore space in the material is made of many pores with a regular shape. </w:t>
      </w:r>
      <w:r w:rsidR="000270F7" w:rsidRPr="00A47423">
        <w:rPr>
          <w:rFonts w:ascii="Myriad Pro" w:hAnsi="Myriad Pro"/>
          <w:sz w:val="22"/>
          <w:szCs w:val="22"/>
        </w:rPr>
        <w:t xml:space="preserve">It is worth noting that the pore space in the pore model (Figure </w:t>
      </w:r>
      <w:r w:rsidR="00600245" w:rsidRPr="00A47423">
        <w:rPr>
          <w:rFonts w:ascii="Myriad Pro" w:hAnsi="Myriad Pro"/>
          <w:sz w:val="22"/>
          <w:szCs w:val="22"/>
        </w:rPr>
        <w:t>S</w:t>
      </w:r>
      <w:r w:rsidR="000270F7" w:rsidRPr="00A47423">
        <w:rPr>
          <w:rFonts w:ascii="Myriad Pro" w:hAnsi="Myriad Pro"/>
          <w:sz w:val="22"/>
          <w:szCs w:val="22"/>
        </w:rPr>
        <w:t xml:space="preserve">1c) is not continuous, and therefore, the pore model is not suitable for simulating transport properties of porous media such as permeability and electrical conductivity. </w:t>
      </w:r>
      <w:r w:rsidRPr="00A47423">
        <w:rPr>
          <w:rFonts w:ascii="Myriad Pro" w:hAnsi="Myriad Pro"/>
          <w:sz w:val="22"/>
          <w:szCs w:val="22"/>
        </w:rPr>
        <w:t xml:space="preserve">With this assumption, the geometric properties of the material (e.g., porosity and pore size and distribution) can also be easily expressed. In rock physics, theoretical equations have been developed for spherical pores to link the pore geometry to some macroscopic properties such as low-frequency induced polarization (IP) relaxation time (e.g., Niu &amp; </w:t>
      </w:r>
      <w:proofErr w:type="spellStart"/>
      <w:r w:rsidRPr="00A47423">
        <w:rPr>
          <w:rFonts w:ascii="Myriad Pro" w:hAnsi="Myriad Pro"/>
          <w:sz w:val="22"/>
          <w:szCs w:val="22"/>
        </w:rPr>
        <w:t>Revil</w:t>
      </w:r>
      <w:proofErr w:type="spellEnd"/>
      <w:r w:rsidRPr="00A47423">
        <w:rPr>
          <w:rFonts w:ascii="Myriad Pro" w:hAnsi="Myriad Pro"/>
          <w:sz w:val="22"/>
          <w:szCs w:val="22"/>
        </w:rPr>
        <w:t xml:space="preserve">, 2016) and nuclear magnetic resonance (NMR) relaxation time (see </w:t>
      </w:r>
      <w:proofErr w:type="spellStart"/>
      <w:r w:rsidRPr="00A47423">
        <w:rPr>
          <w:rFonts w:ascii="Myriad Pro" w:hAnsi="Myriad Pro"/>
          <w:sz w:val="22"/>
          <w:szCs w:val="22"/>
        </w:rPr>
        <w:t>Behroozmand</w:t>
      </w:r>
      <w:proofErr w:type="spellEnd"/>
      <w:r w:rsidRPr="00A47423">
        <w:rPr>
          <w:rFonts w:ascii="Myriad Pro" w:hAnsi="Myriad Pro"/>
          <w:sz w:val="22"/>
          <w:szCs w:val="22"/>
        </w:rPr>
        <w:t xml:space="preserve"> et al., 2015). By convoluting the pore size distribution with these theoretical equations, the low-frequency IP spectrum and NMR T2 decay curve of a geological material can be modelled (see Niu &amp; Zhang, 2018). </w:t>
      </w:r>
    </w:p>
    <w:p w14:paraId="7989F094" w14:textId="1B922419" w:rsidR="00355362" w:rsidRPr="00A47423" w:rsidRDefault="00E97B7D" w:rsidP="001C6B7F">
      <w:pPr>
        <w:pStyle w:val="SMText"/>
        <w:rPr>
          <w:rFonts w:ascii="Myriad Pro" w:hAnsi="Myriad Pro"/>
          <w:sz w:val="22"/>
          <w:szCs w:val="22"/>
        </w:rPr>
      </w:pPr>
      <w:r w:rsidRPr="00A47423">
        <w:rPr>
          <w:rFonts w:ascii="Myriad Pro" w:hAnsi="Myriad Pro"/>
          <w:sz w:val="22"/>
          <w:szCs w:val="22"/>
        </w:rPr>
        <w:t xml:space="preserve">The capillary tube model (Figure </w:t>
      </w:r>
      <w:r w:rsidR="00BA5A9B" w:rsidRPr="00A47423">
        <w:rPr>
          <w:rFonts w:ascii="Myriad Pro" w:hAnsi="Myriad Pro"/>
          <w:sz w:val="22"/>
          <w:szCs w:val="22"/>
        </w:rPr>
        <w:t>S</w:t>
      </w:r>
      <w:r w:rsidRPr="00A47423">
        <w:rPr>
          <w:rFonts w:ascii="Myriad Pro" w:hAnsi="Myriad Pro"/>
          <w:sz w:val="22"/>
          <w:szCs w:val="22"/>
        </w:rPr>
        <w:t xml:space="preserve">1d) has been extensively used in modelling the hydraulic properties of porous geological materials. In the model, the pore space is assumed as a bundle of capillary tubes in parallel. The size and length of the capillary tubes can follow a pre-defined distribution function (e.g., </w:t>
      </w:r>
      <w:proofErr w:type="spellStart"/>
      <w:r w:rsidRPr="00A47423">
        <w:rPr>
          <w:rFonts w:ascii="Myriad Pro" w:hAnsi="Myriad Pro"/>
          <w:sz w:val="22"/>
          <w:szCs w:val="22"/>
        </w:rPr>
        <w:t>Kosugi</w:t>
      </w:r>
      <w:proofErr w:type="spellEnd"/>
      <w:r w:rsidRPr="00A47423">
        <w:rPr>
          <w:rFonts w:ascii="Myriad Pro" w:hAnsi="Myriad Pro"/>
          <w:sz w:val="22"/>
          <w:szCs w:val="22"/>
        </w:rPr>
        <w:t xml:space="preserve">, 1996), and thus the pore size distribution and tortuosity can be explicitly incorporated in modelling the effective properties. Different degrees of water saturation can also be achieved by allowing the water in a fraction of the capillary tubes to be displaced (e.g., </w:t>
      </w:r>
      <w:proofErr w:type="spellStart"/>
      <w:r w:rsidRPr="00A47423">
        <w:rPr>
          <w:rFonts w:ascii="Myriad Pro" w:hAnsi="Myriad Pro"/>
          <w:sz w:val="22"/>
          <w:szCs w:val="22"/>
        </w:rPr>
        <w:t>Duy</w:t>
      </w:r>
      <w:proofErr w:type="spellEnd"/>
      <w:r w:rsidRPr="00A47423">
        <w:rPr>
          <w:rFonts w:ascii="Myriad Pro" w:hAnsi="Myriad Pro"/>
          <w:sz w:val="22"/>
          <w:szCs w:val="22"/>
        </w:rPr>
        <w:t xml:space="preserve"> </w:t>
      </w:r>
      <w:proofErr w:type="spellStart"/>
      <w:r w:rsidRPr="00A47423">
        <w:rPr>
          <w:rFonts w:ascii="Myriad Pro" w:hAnsi="Myriad Pro"/>
          <w:sz w:val="22"/>
          <w:szCs w:val="22"/>
        </w:rPr>
        <w:t>Thanh</w:t>
      </w:r>
      <w:proofErr w:type="spellEnd"/>
      <w:r w:rsidRPr="00A47423">
        <w:rPr>
          <w:rFonts w:ascii="Myriad Pro" w:hAnsi="Myriad Pro"/>
          <w:sz w:val="22"/>
          <w:szCs w:val="22"/>
        </w:rPr>
        <w:t xml:space="preserve"> et al., 2020). In the model, both hydraulic and electrical conductivity can be analytically determined by summing up contributions from all individual tubes (e.g., </w:t>
      </w:r>
      <w:proofErr w:type="spellStart"/>
      <w:r w:rsidRPr="00A47423">
        <w:rPr>
          <w:rFonts w:ascii="Myriad Pro" w:hAnsi="Myriad Pro"/>
          <w:sz w:val="22"/>
          <w:szCs w:val="22"/>
        </w:rPr>
        <w:t>Duy</w:t>
      </w:r>
      <w:proofErr w:type="spellEnd"/>
      <w:r w:rsidRPr="00A47423">
        <w:rPr>
          <w:rFonts w:ascii="Myriad Pro" w:hAnsi="Myriad Pro"/>
          <w:sz w:val="22"/>
          <w:szCs w:val="22"/>
        </w:rPr>
        <w:t xml:space="preserve"> </w:t>
      </w:r>
      <w:proofErr w:type="spellStart"/>
      <w:r w:rsidRPr="00A47423">
        <w:rPr>
          <w:rFonts w:ascii="Myriad Pro" w:hAnsi="Myriad Pro"/>
          <w:sz w:val="22"/>
          <w:szCs w:val="22"/>
        </w:rPr>
        <w:t>Thanh</w:t>
      </w:r>
      <w:proofErr w:type="spellEnd"/>
      <w:r w:rsidRPr="00A47423">
        <w:rPr>
          <w:rFonts w:ascii="Myriad Pro" w:hAnsi="Myriad Pro"/>
          <w:sz w:val="22"/>
          <w:szCs w:val="22"/>
        </w:rPr>
        <w:t xml:space="preserve"> et al., 2019; Jackson, 2008; </w:t>
      </w:r>
      <w:proofErr w:type="spellStart"/>
      <w:r w:rsidRPr="00A47423">
        <w:rPr>
          <w:rFonts w:ascii="Myriad Pro" w:hAnsi="Myriad Pro"/>
          <w:sz w:val="22"/>
          <w:szCs w:val="22"/>
        </w:rPr>
        <w:t>Mualem</w:t>
      </w:r>
      <w:proofErr w:type="spellEnd"/>
      <w:r w:rsidRPr="00A47423">
        <w:rPr>
          <w:rFonts w:ascii="Myriad Pro" w:hAnsi="Myriad Pro"/>
          <w:sz w:val="22"/>
          <w:szCs w:val="22"/>
        </w:rPr>
        <w:t xml:space="preserve"> &amp; Friedman, 1991; Niu et al., 2015). Indeed, most water retention curve and unsaturated hydraulic conductivity models for soils and porous rocks are based on the capillary tube model (e.g., </w:t>
      </w:r>
      <w:proofErr w:type="spellStart"/>
      <w:r w:rsidRPr="00A47423">
        <w:rPr>
          <w:rFonts w:ascii="Myriad Pro" w:hAnsi="Myriad Pro"/>
          <w:sz w:val="22"/>
          <w:szCs w:val="22"/>
        </w:rPr>
        <w:t>Fredlund</w:t>
      </w:r>
      <w:proofErr w:type="spellEnd"/>
      <w:r w:rsidRPr="00A47423">
        <w:rPr>
          <w:rFonts w:ascii="Myriad Pro" w:hAnsi="Myriad Pro"/>
          <w:sz w:val="22"/>
          <w:szCs w:val="22"/>
        </w:rPr>
        <w:t xml:space="preserve"> &amp; Xing, 1994; </w:t>
      </w:r>
      <w:proofErr w:type="spellStart"/>
      <w:r w:rsidRPr="00A47423">
        <w:rPr>
          <w:rFonts w:ascii="Myriad Pro" w:hAnsi="Myriad Pro"/>
          <w:sz w:val="22"/>
          <w:szCs w:val="22"/>
        </w:rPr>
        <w:t>Kosugi</w:t>
      </w:r>
      <w:proofErr w:type="spellEnd"/>
      <w:r w:rsidRPr="00A47423">
        <w:rPr>
          <w:rFonts w:ascii="Myriad Pro" w:hAnsi="Myriad Pro"/>
          <w:sz w:val="22"/>
          <w:szCs w:val="22"/>
        </w:rPr>
        <w:t xml:space="preserve"> 1996). It is noted that, due to the conductive nature of capillary tubes, it is difficult to incorporate electrical polarizations in modeling electrical properties of porous media with the capillary tube model in Figure </w:t>
      </w:r>
      <w:r w:rsidR="00DD3DCA" w:rsidRPr="00A47423">
        <w:rPr>
          <w:rFonts w:ascii="Myriad Pro" w:hAnsi="Myriad Pro"/>
          <w:sz w:val="22"/>
          <w:szCs w:val="22"/>
        </w:rPr>
        <w:t>S</w:t>
      </w:r>
      <w:r w:rsidRPr="00A47423">
        <w:rPr>
          <w:rFonts w:ascii="Myriad Pro" w:hAnsi="Myriad Pro"/>
          <w:sz w:val="22"/>
          <w:szCs w:val="22"/>
        </w:rPr>
        <w:t>1d</w:t>
      </w:r>
      <w:r w:rsidR="00961116" w:rsidRPr="00A47423">
        <w:rPr>
          <w:rFonts w:ascii="Myriad Pro" w:hAnsi="Myriad Pro"/>
          <w:sz w:val="22"/>
          <w:szCs w:val="22"/>
        </w:rPr>
        <w:t xml:space="preserve"> (e.g., Weller </w:t>
      </w:r>
      <w:r w:rsidR="00B01A09">
        <w:rPr>
          <w:rFonts w:ascii="Myriad Pro" w:hAnsi="Myriad Pro"/>
          <w:sz w:val="22"/>
          <w:szCs w:val="22"/>
        </w:rPr>
        <w:t>&amp;</w:t>
      </w:r>
      <w:r w:rsidR="00961116" w:rsidRPr="00A47423">
        <w:rPr>
          <w:rFonts w:ascii="Myriad Pro" w:hAnsi="Myriad Pro"/>
          <w:sz w:val="22"/>
          <w:szCs w:val="22"/>
        </w:rPr>
        <w:t xml:space="preserve"> Slater, 2012</w:t>
      </w:r>
      <w:r w:rsidR="000C7484" w:rsidRPr="00A47423">
        <w:rPr>
          <w:rFonts w:ascii="Myriad Pro" w:hAnsi="Myriad Pro"/>
          <w:sz w:val="22"/>
          <w:szCs w:val="22"/>
        </w:rPr>
        <w:t xml:space="preserve">; </w:t>
      </w:r>
      <w:proofErr w:type="spellStart"/>
      <w:r w:rsidR="000C7484" w:rsidRPr="00A47423">
        <w:rPr>
          <w:rFonts w:ascii="Myriad Pro" w:hAnsi="Myriad Pro"/>
          <w:sz w:val="22"/>
          <w:szCs w:val="22"/>
        </w:rPr>
        <w:t>Maineult</w:t>
      </w:r>
      <w:proofErr w:type="spellEnd"/>
      <w:r w:rsidR="000C7484" w:rsidRPr="00A47423">
        <w:rPr>
          <w:rFonts w:ascii="Myriad Pro" w:hAnsi="Myriad Pro"/>
          <w:sz w:val="22"/>
          <w:szCs w:val="22"/>
        </w:rPr>
        <w:t xml:space="preserve"> et al., 2017</w:t>
      </w:r>
      <w:r w:rsidR="00D3329C" w:rsidRPr="00A47423">
        <w:rPr>
          <w:rFonts w:ascii="Myriad Pro" w:hAnsi="Myriad Pro"/>
          <w:sz w:val="22"/>
          <w:szCs w:val="22"/>
        </w:rPr>
        <w:t xml:space="preserve">). </w:t>
      </w:r>
    </w:p>
    <w:p w14:paraId="2202C377" w14:textId="32182251" w:rsidR="00761199" w:rsidRPr="00A47423" w:rsidRDefault="00761199" w:rsidP="00761199">
      <w:pPr>
        <w:pStyle w:val="SMText"/>
        <w:rPr>
          <w:rFonts w:ascii="Myriad Pro" w:hAnsi="Myriad Pro"/>
          <w:sz w:val="22"/>
          <w:szCs w:val="22"/>
        </w:rPr>
      </w:pPr>
      <w:r w:rsidRPr="00A47423">
        <w:rPr>
          <w:rFonts w:ascii="Myriad Pro" w:hAnsi="Myriad Pro"/>
          <w:sz w:val="22"/>
          <w:szCs w:val="22"/>
        </w:rPr>
        <w:t xml:space="preserve">The network model (Figure </w:t>
      </w:r>
      <w:r w:rsidR="00DD3DCA" w:rsidRPr="00A47423">
        <w:rPr>
          <w:rFonts w:ascii="Myriad Pro" w:hAnsi="Myriad Pro"/>
          <w:sz w:val="22"/>
          <w:szCs w:val="22"/>
        </w:rPr>
        <w:t>S</w:t>
      </w:r>
      <w:r w:rsidRPr="00A47423">
        <w:rPr>
          <w:rFonts w:ascii="Myriad Pro" w:hAnsi="Myriad Pro"/>
          <w:sz w:val="22"/>
          <w:szCs w:val="22"/>
        </w:rPr>
        <w:t xml:space="preserve">1e) also uses the capillary tubes, which are interconnected to form a complex network to approximate the pore space (Berkowitz &amp; Ewing, 1998). In addition, spherical pore nodes with finite sizes can also be added in the model to connect two or more capillary tubes (Figure </w:t>
      </w:r>
      <w:r w:rsidR="00AB5CB4" w:rsidRPr="00A47423">
        <w:rPr>
          <w:rFonts w:ascii="Myriad Pro" w:hAnsi="Myriad Pro"/>
          <w:sz w:val="22"/>
          <w:szCs w:val="22"/>
        </w:rPr>
        <w:t>S</w:t>
      </w:r>
      <w:r w:rsidRPr="00A47423">
        <w:rPr>
          <w:rFonts w:ascii="Myriad Pro" w:hAnsi="Myriad Pro"/>
          <w:sz w:val="22"/>
          <w:szCs w:val="22"/>
        </w:rPr>
        <w:t xml:space="preserve">1e). The spherical node and capillary tube can be treated as the pore node and pore throat of a porous medium, respectively. Thus, both pore throat size (distribution) and pore size (distribution) can be defined explicitly in the network model. To model complex pore space, it is also possible to change the spatial positions of the pore nodes as well as the number of connected capillary tubes. In general, the network model is randomly generated to follow the </w:t>
      </w:r>
      <w:r w:rsidRPr="00A47423">
        <w:rPr>
          <w:rFonts w:ascii="Myriad Pro" w:hAnsi="Myriad Pro"/>
          <w:sz w:val="22"/>
          <w:szCs w:val="22"/>
        </w:rPr>
        <w:lastRenderedPageBreak/>
        <w:t xml:space="preserve">measured or theoretical pore (and/or pore throat) size distribution (e.g., </w:t>
      </w:r>
      <w:proofErr w:type="spellStart"/>
      <w:r w:rsidRPr="00A47423">
        <w:rPr>
          <w:rFonts w:ascii="Myriad Pro" w:hAnsi="Myriad Pro"/>
          <w:sz w:val="22"/>
          <w:szCs w:val="22"/>
        </w:rPr>
        <w:t>Bernabé</w:t>
      </w:r>
      <w:proofErr w:type="spellEnd"/>
      <w:r w:rsidRPr="00A47423">
        <w:rPr>
          <w:rFonts w:ascii="Myriad Pro" w:hAnsi="Myriad Pro"/>
          <w:sz w:val="22"/>
          <w:szCs w:val="22"/>
        </w:rPr>
        <w:t xml:space="preserve"> &amp; </w:t>
      </w:r>
      <w:proofErr w:type="spellStart"/>
      <w:r w:rsidRPr="00A47423">
        <w:rPr>
          <w:rFonts w:ascii="Myriad Pro" w:hAnsi="Myriad Pro"/>
          <w:sz w:val="22"/>
          <w:szCs w:val="22"/>
        </w:rPr>
        <w:t>Bruderer</w:t>
      </w:r>
      <w:proofErr w:type="spellEnd"/>
      <w:r w:rsidRPr="00A47423">
        <w:rPr>
          <w:rFonts w:ascii="Myriad Pro" w:hAnsi="Myriad Pro"/>
          <w:sz w:val="22"/>
          <w:szCs w:val="22"/>
        </w:rPr>
        <w:t xml:space="preserve">, 1998; Dai &amp; </w:t>
      </w:r>
      <w:proofErr w:type="spellStart"/>
      <w:r w:rsidRPr="00A47423">
        <w:rPr>
          <w:rFonts w:ascii="Myriad Pro" w:hAnsi="Myriad Pro"/>
          <w:sz w:val="22"/>
          <w:szCs w:val="22"/>
        </w:rPr>
        <w:t>Santamarina</w:t>
      </w:r>
      <w:proofErr w:type="spellEnd"/>
      <w:r w:rsidRPr="00A47423">
        <w:rPr>
          <w:rFonts w:ascii="Myriad Pro" w:hAnsi="Myriad Pro"/>
          <w:sz w:val="22"/>
          <w:szCs w:val="22"/>
        </w:rPr>
        <w:t xml:space="preserve">, 2013). Recently, realistic pore networks can be reliably extracted from the digital representation of a material’s microstructure, which can be obtained with pore-scale imaging techniques such as </w:t>
      </w:r>
      <w:proofErr w:type="spellStart"/>
      <w:r w:rsidRPr="00A47423">
        <w:rPr>
          <w:rFonts w:ascii="Myriad Pro" w:hAnsi="Myriad Pro"/>
          <w:sz w:val="22"/>
          <w:szCs w:val="22"/>
        </w:rPr>
        <w:t>μCT</w:t>
      </w:r>
      <w:proofErr w:type="spellEnd"/>
      <w:r w:rsidRPr="00A47423">
        <w:rPr>
          <w:rFonts w:ascii="Myriad Pro" w:hAnsi="Myriad Pro"/>
          <w:sz w:val="22"/>
          <w:szCs w:val="22"/>
        </w:rPr>
        <w:t xml:space="preserve"> scan (Blunt et al., 2013). The network models have been widely used to model the fluid and electric current flows in saturated and unsaturated porous geological materials (e.g., </w:t>
      </w:r>
      <w:proofErr w:type="spellStart"/>
      <w:r w:rsidRPr="00A47423">
        <w:rPr>
          <w:rFonts w:ascii="Myriad Pro" w:hAnsi="Myriad Pro"/>
          <w:sz w:val="22"/>
          <w:szCs w:val="22"/>
        </w:rPr>
        <w:t>Bernabé</w:t>
      </w:r>
      <w:proofErr w:type="spellEnd"/>
      <w:r w:rsidRPr="00A47423">
        <w:rPr>
          <w:rFonts w:ascii="Myriad Pro" w:hAnsi="Myriad Pro"/>
          <w:sz w:val="22"/>
          <w:szCs w:val="22"/>
        </w:rPr>
        <w:t xml:space="preserve"> et al., 2010; Friedman &amp; Seaton, 1996</w:t>
      </w:r>
      <w:r w:rsidR="00D3329C" w:rsidRPr="00A47423">
        <w:rPr>
          <w:rFonts w:ascii="Myriad Pro" w:hAnsi="Myriad Pro"/>
          <w:sz w:val="22"/>
          <w:szCs w:val="22"/>
        </w:rPr>
        <w:t xml:space="preserve">; </w:t>
      </w:r>
      <w:proofErr w:type="spellStart"/>
      <w:r w:rsidR="00D3329C" w:rsidRPr="00A47423">
        <w:rPr>
          <w:rFonts w:ascii="Myriad Pro" w:hAnsi="Myriad Pro"/>
          <w:sz w:val="22"/>
          <w:szCs w:val="22"/>
        </w:rPr>
        <w:t>Maineult</w:t>
      </w:r>
      <w:proofErr w:type="spellEnd"/>
      <w:r w:rsidR="00D3329C" w:rsidRPr="00A47423">
        <w:rPr>
          <w:rFonts w:ascii="Myriad Pro" w:hAnsi="Myriad Pro"/>
          <w:sz w:val="22"/>
          <w:szCs w:val="22"/>
        </w:rPr>
        <w:t xml:space="preserve"> et al., 2017, 2018</w:t>
      </w:r>
      <w:r w:rsidRPr="00A47423">
        <w:rPr>
          <w:rFonts w:ascii="Myriad Pro" w:hAnsi="Myriad Pro"/>
          <w:sz w:val="22"/>
          <w:szCs w:val="22"/>
        </w:rPr>
        <w:t xml:space="preserve">). </w:t>
      </w:r>
    </w:p>
    <w:p w14:paraId="6EB111C5" w14:textId="7A8ADD93" w:rsidR="00761199" w:rsidRPr="00A47423" w:rsidRDefault="00761199" w:rsidP="00761199">
      <w:pPr>
        <w:pStyle w:val="SMText"/>
        <w:rPr>
          <w:rFonts w:ascii="Myriad Pro" w:hAnsi="Myriad Pro"/>
          <w:sz w:val="22"/>
          <w:szCs w:val="22"/>
        </w:rPr>
      </w:pPr>
      <w:r w:rsidRPr="00A47423">
        <w:rPr>
          <w:rFonts w:ascii="Myriad Pro" w:hAnsi="Myriad Pro"/>
          <w:sz w:val="22"/>
          <w:szCs w:val="22"/>
        </w:rPr>
        <w:t xml:space="preserve">If two effective properties need to be modeled simultaneously, a unified microstructural model is then required for the material (Sheng, 1991). Note that each model in Figure </w:t>
      </w:r>
      <w:r w:rsidR="00F2255E" w:rsidRPr="00A47423">
        <w:rPr>
          <w:rFonts w:ascii="Myriad Pro" w:hAnsi="Myriad Pro"/>
          <w:sz w:val="22"/>
          <w:szCs w:val="22"/>
        </w:rPr>
        <w:t>S</w:t>
      </w:r>
      <w:r w:rsidRPr="00A47423">
        <w:rPr>
          <w:rFonts w:ascii="Myriad Pro" w:hAnsi="Myriad Pro"/>
          <w:sz w:val="22"/>
          <w:szCs w:val="22"/>
        </w:rPr>
        <w:t xml:space="preserve">1 only addresses the geometry of either the solid phase or the water phase in the material. Therefore, if the two properties of interest are largely affected by the geometry of different phases, it is then difficult to select a suitable microstructural model that works for both properties. For instance, the elastic stiffness of geological materials is primarily controlled by the grain arrangement but the electrical conductivity is strongly influenced by the fluid phase geometry; thus, it is challenging to model acoustic velocity and electrical conductivity with a unified microstructural model (e.g., </w:t>
      </w:r>
      <w:proofErr w:type="spellStart"/>
      <w:r w:rsidRPr="00A47423">
        <w:rPr>
          <w:rFonts w:ascii="Myriad Pro" w:hAnsi="Myriad Pro"/>
          <w:sz w:val="22"/>
          <w:szCs w:val="22"/>
        </w:rPr>
        <w:t>Kazatchenko</w:t>
      </w:r>
      <w:proofErr w:type="spellEnd"/>
      <w:r w:rsidRPr="00A47423">
        <w:rPr>
          <w:rFonts w:ascii="Myriad Pro" w:hAnsi="Myriad Pro"/>
          <w:sz w:val="22"/>
          <w:szCs w:val="22"/>
        </w:rPr>
        <w:t xml:space="preserve"> et al., 2004). This is also true for electrical conductivity and permittivity. To reconcile this inconsistency, the most straightforward way is to use the real microstructure of the material so that both the electrical connectivity in the water phase and electrical discontinuity across the interface can be considered. In this regard, the pore-scale numerical simulation using realistic material microstructure becomes an attractive way for jointly modelling the electrical conductivity and permittivity of porous media.</w:t>
      </w:r>
    </w:p>
    <w:p w14:paraId="3B96FC8A" w14:textId="598D88AC" w:rsidR="003E1980" w:rsidRPr="00A47423" w:rsidRDefault="00DB298B" w:rsidP="009A5287">
      <w:pPr>
        <w:pStyle w:val="SMcaption"/>
        <w:rPr>
          <w:rFonts w:ascii="Myriad Pro" w:hAnsi="Myriad Pro"/>
        </w:rPr>
      </w:pPr>
      <w:r w:rsidRPr="00A47423">
        <w:rPr>
          <w:rFonts w:ascii="Myriad Pro" w:hAnsi="Myriad Pro"/>
          <w:noProof/>
          <w:lang w:eastAsia="zh-CN"/>
        </w:rPr>
        <w:lastRenderedPageBreak/>
        <w:drawing>
          <wp:inline distT="0" distB="0" distL="0" distR="0" wp14:anchorId="3AB0E115" wp14:editId="49494ED3">
            <wp:extent cx="5486400" cy="685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crostructure schematic2.tif"/>
                    <pic:cNvPicPr/>
                  </pic:nvPicPr>
                  <pic:blipFill>
                    <a:blip r:embed="rId8">
                      <a:extLst>
                        <a:ext uri="{28A0092B-C50C-407E-A947-70E740481C1C}">
                          <a14:useLocalDpi xmlns:a14="http://schemas.microsoft.com/office/drawing/2010/main" val="0"/>
                        </a:ext>
                      </a:extLst>
                    </a:blip>
                    <a:stretch>
                      <a:fillRect/>
                    </a:stretch>
                  </pic:blipFill>
                  <pic:spPr>
                    <a:xfrm>
                      <a:off x="0" y="0"/>
                      <a:ext cx="5486400" cy="6858000"/>
                    </a:xfrm>
                    <a:prstGeom prst="rect">
                      <a:avLst/>
                    </a:prstGeom>
                  </pic:spPr>
                </pic:pic>
              </a:graphicData>
            </a:graphic>
          </wp:inline>
        </w:drawing>
      </w:r>
    </w:p>
    <w:p w14:paraId="10CDBF86" w14:textId="2AD307FF" w:rsidR="00CD7A0B" w:rsidRPr="000F251E" w:rsidRDefault="00227D86" w:rsidP="000F251E">
      <w:pPr>
        <w:pStyle w:val="SMHeading"/>
        <w:rPr>
          <w:rFonts w:ascii="Myriad Pro" w:hAnsi="Myriad Pro"/>
          <w:sz w:val="22"/>
          <w:szCs w:val="22"/>
        </w:rPr>
      </w:pPr>
      <w:r w:rsidRPr="00A47423">
        <w:rPr>
          <w:rFonts w:ascii="Myriad Pro" w:hAnsi="Myriad Pro"/>
          <w:sz w:val="22"/>
          <w:szCs w:val="22"/>
        </w:rPr>
        <w:t>Figure S1</w:t>
      </w:r>
      <w:r w:rsidR="003E1980" w:rsidRPr="00A47423">
        <w:rPr>
          <w:rFonts w:ascii="Myriad Pro" w:hAnsi="Myriad Pro"/>
          <w:sz w:val="22"/>
          <w:szCs w:val="22"/>
        </w:rPr>
        <w:t xml:space="preserve">. </w:t>
      </w:r>
      <w:r w:rsidR="0095151B" w:rsidRPr="00A47423">
        <w:rPr>
          <w:rFonts w:ascii="Myriad Pro" w:hAnsi="Myriad Pro"/>
          <w:b w:val="0"/>
          <w:sz w:val="22"/>
          <w:szCs w:val="22"/>
        </w:rPr>
        <w:t>The microstructure of porous geological materials: a) a</w:t>
      </w:r>
      <w:r w:rsidR="00415F07" w:rsidRPr="00A47423">
        <w:rPr>
          <w:rFonts w:ascii="Myriad Pro" w:hAnsi="Myriad Pro"/>
          <w:b w:val="0"/>
          <w:sz w:val="22"/>
          <w:szCs w:val="22"/>
        </w:rPr>
        <w:t>n</w:t>
      </w:r>
      <w:r w:rsidR="0095151B" w:rsidRPr="00A47423">
        <w:rPr>
          <w:rFonts w:ascii="Myriad Pro" w:hAnsi="Myriad Pro"/>
          <w:b w:val="0"/>
          <w:sz w:val="22"/>
          <w:szCs w:val="22"/>
        </w:rPr>
        <w:t xml:space="preserve"> </w:t>
      </w:r>
      <w:r w:rsidR="00415F07" w:rsidRPr="00A47423">
        <w:rPr>
          <w:rFonts w:ascii="Myriad Pro" w:hAnsi="Myriad Pro"/>
          <w:b w:val="0"/>
          <w:sz w:val="22"/>
          <w:szCs w:val="22"/>
        </w:rPr>
        <w:t xml:space="preserve">imagined </w:t>
      </w:r>
      <w:r w:rsidR="0095151B" w:rsidRPr="00A47423">
        <w:rPr>
          <w:rFonts w:ascii="Myriad Pro" w:hAnsi="Myriad Pro"/>
          <w:b w:val="0"/>
          <w:sz w:val="22"/>
          <w:szCs w:val="22"/>
        </w:rPr>
        <w:t>sandstone, b) the grain model, c) the pore model, d) the capillary tube model, and e) the network model. In the figures, blue and grey represent the water phase and solid phase, respectively.</w:t>
      </w:r>
      <w:bookmarkStart w:id="0" w:name="_GoBack"/>
      <w:bookmarkEnd w:id="0"/>
    </w:p>
    <w:sectPr w:rsidR="00CD7A0B" w:rsidRPr="000F251E" w:rsidSect="00F125EE">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2B25C0" w14:textId="77777777" w:rsidR="000B4E5B" w:rsidRDefault="000B4E5B">
      <w:r>
        <w:separator/>
      </w:r>
    </w:p>
  </w:endnote>
  <w:endnote w:type="continuationSeparator" w:id="0">
    <w:p w14:paraId="58C63F4F" w14:textId="77777777" w:rsidR="000B4E5B" w:rsidRDefault="000B4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C6102A" w14:textId="77777777" w:rsidR="001966FD" w:rsidRDefault="001966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78E7ED" w14:textId="55358695" w:rsidR="00F125EE" w:rsidRDefault="00114193">
    <w:pPr>
      <w:pStyle w:val="Footer"/>
      <w:jc w:val="right"/>
    </w:pPr>
    <w:r>
      <w:fldChar w:fldCharType="begin"/>
    </w:r>
    <w:r>
      <w:instrText xml:space="preserve"> PAGE   \* MERGEFORMAT </w:instrText>
    </w:r>
    <w:r>
      <w:fldChar w:fldCharType="separate"/>
    </w:r>
    <w:r w:rsidR="000F251E">
      <w:rPr>
        <w:noProof/>
      </w:rPr>
      <w:t>4</w:t>
    </w:r>
    <w:r>
      <w:fldChar w:fldCharType="end"/>
    </w:r>
  </w:p>
  <w:p w14:paraId="486656F3" w14:textId="77777777" w:rsidR="00F125EE" w:rsidRDefault="00F125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ABBCA3" w14:textId="77777777" w:rsidR="001966FD" w:rsidRDefault="00196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40EDCB" w14:textId="77777777" w:rsidR="000B4E5B" w:rsidRDefault="000B4E5B">
      <w:r>
        <w:separator/>
      </w:r>
    </w:p>
  </w:footnote>
  <w:footnote w:type="continuationSeparator" w:id="0">
    <w:p w14:paraId="1C1DB164" w14:textId="77777777" w:rsidR="000B4E5B" w:rsidRDefault="000B4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29EF6B" w14:textId="77777777" w:rsidR="001966FD" w:rsidRDefault="001966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23C1C" w14:textId="77777777" w:rsidR="003A2FD8" w:rsidRPr="005001AC" w:rsidRDefault="003A2FD8" w:rsidP="005001AC">
    <w:pPr>
      <w:jc w:val="right"/>
      <w:rPr>
        <w:sz w:val="20"/>
      </w:rPr>
    </w:pPr>
  </w:p>
  <w:p w14:paraId="18F8F636" w14:textId="77777777" w:rsidR="003A2FD8" w:rsidRDefault="003A2FD8"/>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7C5ADD" w14:textId="77777777" w:rsidR="001966FD" w:rsidRDefault="00196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F0416B9"/>
    <w:multiLevelType w:val="hybridMultilevel"/>
    <w:tmpl w:val="F482E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01DB9"/>
    <w:multiLevelType w:val="hybridMultilevel"/>
    <w:tmpl w:val="00B686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37AC4"/>
    <w:multiLevelType w:val="hybridMultilevel"/>
    <w:tmpl w:val="F894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bU0NzU2MDYzNDQyNjVT0lEKTi0uzszPAykwrAUA/Z0HHiwAAAA="/>
  </w:docVars>
  <w:rsids>
    <w:rsidRoot w:val="002C030F"/>
    <w:rsid w:val="00015F74"/>
    <w:rsid w:val="000250D7"/>
    <w:rsid w:val="000270F7"/>
    <w:rsid w:val="00043571"/>
    <w:rsid w:val="00065EBD"/>
    <w:rsid w:val="00066319"/>
    <w:rsid w:val="00083B44"/>
    <w:rsid w:val="000850DC"/>
    <w:rsid w:val="00094365"/>
    <w:rsid w:val="000A71BF"/>
    <w:rsid w:val="000B2E64"/>
    <w:rsid w:val="000B4E5B"/>
    <w:rsid w:val="000C2771"/>
    <w:rsid w:val="000C7484"/>
    <w:rsid w:val="000D68BD"/>
    <w:rsid w:val="000F0DCE"/>
    <w:rsid w:val="000F251E"/>
    <w:rsid w:val="00111843"/>
    <w:rsid w:val="00112C5B"/>
    <w:rsid w:val="00113908"/>
    <w:rsid w:val="00114193"/>
    <w:rsid w:val="001154E6"/>
    <w:rsid w:val="00115A38"/>
    <w:rsid w:val="0011687B"/>
    <w:rsid w:val="00124F82"/>
    <w:rsid w:val="001278E3"/>
    <w:rsid w:val="00130743"/>
    <w:rsid w:val="00130B50"/>
    <w:rsid w:val="00140A7A"/>
    <w:rsid w:val="00154756"/>
    <w:rsid w:val="00162003"/>
    <w:rsid w:val="0016337A"/>
    <w:rsid w:val="00164269"/>
    <w:rsid w:val="001966FD"/>
    <w:rsid w:val="00197826"/>
    <w:rsid w:val="001A1BDE"/>
    <w:rsid w:val="001A34B0"/>
    <w:rsid w:val="001C6B7F"/>
    <w:rsid w:val="001C7B4E"/>
    <w:rsid w:val="001F0876"/>
    <w:rsid w:val="001F167C"/>
    <w:rsid w:val="001F5E91"/>
    <w:rsid w:val="0020183F"/>
    <w:rsid w:val="00205959"/>
    <w:rsid w:val="002077B9"/>
    <w:rsid w:val="00221C70"/>
    <w:rsid w:val="002251AF"/>
    <w:rsid w:val="00227D86"/>
    <w:rsid w:val="00243B68"/>
    <w:rsid w:val="00262D72"/>
    <w:rsid w:val="002800B6"/>
    <w:rsid w:val="002A3473"/>
    <w:rsid w:val="002A756A"/>
    <w:rsid w:val="002B35D4"/>
    <w:rsid w:val="002C030F"/>
    <w:rsid w:val="002F3966"/>
    <w:rsid w:val="00320E2C"/>
    <w:rsid w:val="00323A19"/>
    <w:rsid w:val="00331D75"/>
    <w:rsid w:val="00355362"/>
    <w:rsid w:val="00363E44"/>
    <w:rsid w:val="00372E73"/>
    <w:rsid w:val="0038332E"/>
    <w:rsid w:val="00395E86"/>
    <w:rsid w:val="003A2FD8"/>
    <w:rsid w:val="003B40E6"/>
    <w:rsid w:val="003C007A"/>
    <w:rsid w:val="003D5D69"/>
    <w:rsid w:val="003E1980"/>
    <w:rsid w:val="003F6E14"/>
    <w:rsid w:val="00405336"/>
    <w:rsid w:val="00415F07"/>
    <w:rsid w:val="004568BC"/>
    <w:rsid w:val="004571D5"/>
    <w:rsid w:val="00462F1B"/>
    <w:rsid w:val="0046356B"/>
    <w:rsid w:val="00477182"/>
    <w:rsid w:val="004779CB"/>
    <w:rsid w:val="00481118"/>
    <w:rsid w:val="00485D05"/>
    <w:rsid w:val="004A0711"/>
    <w:rsid w:val="004B2481"/>
    <w:rsid w:val="004C0BCE"/>
    <w:rsid w:val="004D2A8C"/>
    <w:rsid w:val="004E42D8"/>
    <w:rsid w:val="004E7BA2"/>
    <w:rsid w:val="004F7EDF"/>
    <w:rsid w:val="005001AC"/>
    <w:rsid w:val="0050490D"/>
    <w:rsid w:val="00517016"/>
    <w:rsid w:val="00527D71"/>
    <w:rsid w:val="00527D84"/>
    <w:rsid w:val="005314B5"/>
    <w:rsid w:val="00531E8B"/>
    <w:rsid w:val="0054432F"/>
    <w:rsid w:val="0054736F"/>
    <w:rsid w:val="00552C23"/>
    <w:rsid w:val="005607DD"/>
    <w:rsid w:val="00572DFF"/>
    <w:rsid w:val="005A078E"/>
    <w:rsid w:val="005A558C"/>
    <w:rsid w:val="005A648D"/>
    <w:rsid w:val="005B186E"/>
    <w:rsid w:val="005C25CC"/>
    <w:rsid w:val="005C6651"/>
    <w:rsid w:val="005D6D71"/>
    <w:rsid w:val="005E28F8"/>
    <w:rsid w:val="005E6513"/>
    <w:rsid w:val="00600245"/>
    <w:rsid w:val="00611F9E"/>
    <w:rsid w:val="006237D4"/>
    <w:rsid w:val="00641AFC"/>
    <w:rsid w:val="006455CA"/>
    <w:rsid w:val="00651114"/>
    <w:rsid w:val="006622CF"/>
    <w:rsid w:val="00664A12"/>
    <w:rsid w:val="0066722B"/>
    <w:rsid w:val="00670299"/>
    <w:rsid w:val="0068469F"/>
    <w:rsid w:val="00691985"/>
    <w:rsid w:val="006962C1"/>
    <w:rsid w:val="006A1B64"/>
    <w:rsid w:val="006B03AD"/>
    <w:rsid w:val="006F602A"/>
    <w:rsid w:val="007108F5"/>
    <w:rsid w:val="00713AF2"/>
    <w:rsid w:val="00713CEA"/>
    <w:rsid w:val="00713E5B"/>
    <w:rsid w:val="007402FC"/>
    <w:rsid w:val="007411A1"/>
    <w:rsid w:val="007563F2"/>
    <w:rsid w:val="00761199"/>
    <w:rsid w:val="00764008"/>
    <w:rsid w:val="008019FB"/>
    <w:rsid w:val="00802CAF"/>
    <w:rsid w:val="00807D35"/>
    <w:rsid w:val="008115D9"/>
    <w:rsid w:val="00825950"/>
    <w:rsid w:val="008402AC"/>
    <w:rsid w:val="00885C9B"/>
    <w:rsid w:val="008927D0"/>
    <w:rsid w:val="008A2D9B"/>
    <w:rsid w:val="008B21DD"/>
    <w:rsid w:val="008D5D2A"/>
    <w:rsid w:val="008E0A08"/>
    <w:rsid w:val="008E2CF1"/>
    <w:rsid w:val="008F08DC"/>
    <w:rsid w:val="008F5A8A"/>
    <w:rsid w:val="009055D1"/>
    <w:rsid w:val="00914B63"/>
    <w:rsid w:val="00922705"/>
    <w:rsid w:val="00924546"/>
    <w:rsid w:val="00932FE5"/>
    <w:rsid w:val="009354F3"/>
    <w:rsid w:val="00935CF5"/>
    <w:rsid w:val="009447DC"/>
    <w:rsid w:val="0095151B"/>
    <w:rsid w:val="00961116"/>
    <w:rsid w:val="00961BA5"/>
    <w:rsid w:val="009641D1"/>
    <w:rsid w:val="009743A9"/>
    <w:rsid w:val="00975720"/>
    <w:rsid w:val="009859A7"/>
    <w:rsid w:val="009A5287"/>
    <w:rsid w:val="009A70D0"/>
    <w:rsid w:val="009B2AC5"/>
    <w:rsid w:val="009B7984"/>
    <w:rsid w:val="009E3661"/>
    <w:rsid w:val="009F4BED"/>
    <w:rsid w:val="009F7D93"/>
    <w:rsid w:val="00A13A10"/>
    <w:rsid w:val="00A276DF"/>
    <w:rsid w:val="00A3084A"/>
    <w:rsid w:val="00A3403B"/>
    <w:rsid w:val="00A405F3"/>
    <w:rsid w:val="00A47423"/>
    <w:rsid w:val="00A50033"/>
    <w:rsid w:val="00A51A12"/>
    <w:rsid w:val="00A627D4"/>
    <w:rsid w:val="00A74DA2"/>
    <w:rsid w:val="00A92733"/>
    <w:rsid w:val="00AA76F3"/>
    <w:rsid w:val="00AB5CB4"/>
    <w:rsid w:val="00AC6905"/>
    <w:rsid w:val="00AC7DA6"/>
    <w:rsid w:val="00AD499C"/>
    <w:rsid w:val="00B01A09"/>
    <w:rsid w:val="00B21BB9"/>
    <w:rsid w:val="00B30334"/>
    <w:rsid w:val="00B3147F"/>
    <w:rsid w:val="00B31E24"/>
    <w:rsid w:val="00B36869"/>
    <w:rsid w:val="00B43B31"/>
    <w:rsid w:val="00B47CFA"/>
    <w:rsid w:val="00B57F00"/>
    <w:rsid w:val="00B626CB"/>
    <w:rsid w:val="00B7560C"/>
    <w:rsid w:val="00B77E40"/>
    <w:rsid w:val="00B82C22"/>
    <w:rsid w:val="00B93DBA"/>
    <w:rsid w:val="00B9440A"/>
    <w:rsid w:val="00B952C1"/>
    <w:rsid w:val="00B968D7"/>
    <w:rsid w:val="00BA3953"/>
    <w:rsid w:val="00BA5A9B"/>
    <w:rsid w:val="00BB2D2A"/>
    <w:rsid w:val="00BD219F"/>
    <w:rsid w:val="00BD58CF"/>
    <w:rsid w:val="00BF0EE4"/>
    <w:rsid w:val="00BF1BEB"/>
    <w:rsid w:val="00BF1BF9"/>
    <w:rsid w:val="00BF76AE"/>
    <w:rsid w:val="00BF776D"/>
    <w:rsid w:val="00C04CC1"/>
    <w:rsid w:val="00C071FC"/>
    <w:rsid w:val="00C22C02"/>
    <w:rsid w:val="00C27F6F"/>
    <w:rsid w:val="00C30E83"/>
    <w:rsid w:val="00C50C6D"/>
    <w:rsid w:val="00C54A68"/>
    <w:rsid w:val="00C600D9"/>
    <w:rsid w:val="00C634D7"/>
    <w:rsid w:val="00C73E09"/>
    <w:rsid w:val="00C927A2"/>
    <w:rsid w:val="00CC1384"/>
    <w:rsid w:val="00CD3720"/>
    <w:rsid w:val="00CD7A0B"/>
    <w:rsid w:val="00CE6EAA"/>
    <w:rsid w:val="00CF1848"/>
    <w:rsid w:val="00CF3186"/>
    <w:rsid w:val="00CF5C2F"/>
    <w:rsid w:val="00D04BCF"/>
    <w:rsid w:val="00D10134"/>
    <w:rsid w:val="00D143D9"/>
    <w:rsid w:val="00D30E71"/>
    <w:rsid w:val="00D3329C"/>
    <w:rsid w:val="00D4372A"/>
    <w:rsid w:val="00D57898"/>
    <w:rsid w:val="00D60BB0"/>
    <w:rsid w:val="00D65708"/>
    <w:rsid w:val="00D77F29"/>
    <w:rsid w:val="00D8159F"/>
    <w:rsid w:val="00DA42E9"/>
    <w:rsid w:val="00DB298B"/>
    <w:rsid w:val="00DB48AE"/>
    <w:rsid w:val="00DD1D04"/>
    <w:rsid w:val="00DD3DCA"/>
    <w:rsid w:val="00DD79D7"/>
    <w:rsid w:val="00DE27AE"/>
    <w:rsid w:val="00DF4597"/>
    <w:rsid w:val="00E131D9"/>
    <w:rsid w:val="00E20431"/>
    <w:rsid w:val="00E257C8"/>
    <w:rsid w:val="00E35380"/>
    <w:rsid w:val="00E40896"/>
    <w:rsid w:val="00E43D2D"/>
    <w:rsid w:val="00E441FF"/>
    <w:rsid w:val="00E449CB"/>
    <w:rsid w:val="00E52902"/>
    <w:rsid w:val="00E63760"/>
    <w:rsid w:val="00E64049"/>
    <w:rsid w:val="00E75B55"/>
    <w:rsid w:val="00E936A8"/>
    <w:rsid w:val="00E9773B"/>
    <w:rsid w:val="00E97B7D"/>
    <w:rsid w:val="00EC13A3"/>
    <w:rsid w:val="00EC446D"/>
    <w:rsid w:val="00EC7C85"/>
    <w:rsid w:val="00ED4C65"/>
    <w:rsid w:val="00ED69CA"/>
    <w:rsid w:val="00EE35AB"/>
    <w:rsid w:val="00EF25A3"/>
    <w:rsid w:val="00F125EE"/>
    <w:rsid w:val="00F12E98"/>
    <w:rsid w:val="00F22029"/>
    <w:rsid w:val="00F2255E"/>
    <w:rsid w:val="00F23E46"/>
    <w:rsid w:val="00F3515C"/>
    <w:rsid w:val="00F47BA3"/>
    <w:rsid w:val="00F56E67"/>
    <w:rsid w:val="00F630EA"/>
    <w:rsid w:val="00F6474F"/>
    <w:rsid w:val="00F7007E"/>
    <w:rsid w:val="00F73193"/>
    <w:rsid w:val="00F74ABB"/>
    <w:rsid w:val="00F74F95"/>
    <w:rsid w:val="00F80705"/>
    <w:rsid w:val="00FA1481"/>
    <w:rsid w:val="00FA7203"/>
    <w:rsid w:val="00FB1C42"/>
    <w:rsid w:val="00FB32EC"/>
    <w:rsid w:val="00FF04E3"/>
    <w:rsid w:val="00FF35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CD9FF7"/>
  <w15:chartTrackingRefBased/>
  <w15:docId w15:val="{70801E18-7CCF-4C88-A79C-4DFA6FFF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lsdException w:name="annotation reference" w:semiHidden="1"/>
    <w:lsdException w:name="line number" w:semiHidden="1"/>
    <w:lsdException w:name="endnote reference" w:semiHidden="1"/>
    <w:lsdException w:name="Title" w:qFormat="1"/>
    <w:lsdException w:name="Subtitle" w:qFormat="1"/>
    <w:lsdException w:name="FollowedHyperlink" w:semiHidden="1"/>
    <w:lsdException w:name="Strong" w:semiHidden="1" w:uiPriority="22" w:qFormat="1"/>
    <w:lsdException w:name="Emphasis" w:semiHidden="1" w:qFormat="1"/>
    <w:lsdException w:name="Normal (Web)" w:uiPriority="99"/>
    <w:lsdException w:name="HTML Acronym" w:semiHidden="1"/>
    <w:lsdException w:name="HTML Cite" w:semiHidden="1"/>
    <w:lsdException w:name="HTML Code" w:semiHidden="1"/>
    <w:lsdException w:name="HTML Definition" w:semiHidden="1"/>
    <w:lsdException w:name="HTML Keyboard" w:semiHidden="1"/>
    <w:lsdException w:name="HTML Sample" w:semiHidden="1"/>
    <w:lsdException w:name="HTML Typewriter" w:semiHidden="1"/>
    <w:lsdException w:name="HTML Variable"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semiHidden/>
    <w:rsid w:val="00FF04E3"/>
    <w:rPr>
      <w:b/>
      <w:bCs/>
      <w:kern w:val="32"/>
      <w:sz w:val="24"/>
      <w:szCs w:val="24"/>
    </w:rPr>
  </w:style>
  <w:style w:type="character" w:customStyle="1" w:styleId="Heading2Char">
    <w:name w:val="Heading 2 Char"/>
    <w:link w:val="Heading2"/>
    <w:semiHidden/>
    <w:rsid w:val="00FF04E3"/>
    <w:rPr>
      <w:rFonts w:ascii="Cambria" w:hAnsi="Cambria"/>
      <w:b/>
      <w:bCs/>
      <w:i/>
      <w:iCs/>
      <w:sz w:val="28"/>
      <w:szCs w:val="28"/>
    </w:rPr>
  </w:style>
  <w:style w:type="character" w:customStyle="1" w:styleId="Heading5Char">
    <w:name w:val="Heading 5 Char"/>
    <w:link w:val="Heading5"/>
    <w:semiHidden/>
    <w:rsid w:val="00FF04E3"/>
    <w:rPr>
      <w:rFonts w:ascii="Calibri" w:hAnsi="Calibri"/>
      <w:b/>
      <w:bCs/>
      <w:i/>
      <w:iCs/>
      <w:sz w:val="26"/>
      <w:szCs w:val="26"/>
    </w:rPr>
  </w:style>
  <w:style w:type="character" w:customStyle="1" w:styleId="Heading6Char">
    <w:name w:val="Heading 6 Char"/>
    <w:link w:val="Heading6"/>
    <w:semiHidden/>
    <w:rsid w:val="00FF04E3"/>
    <w:rPr>
      <w:rFonts w:ascii="Calibri" w:hAnsi="Calibri"/>
      <w:b/>
      <w:bCs/>
      <w:sz w:val="22"/>
      <w:szCs w:val="22"/>
    </w:rPr>
  </w:style>
  <w:style w:type="character" w:customStyle="1" w:styleId="Heading7Char">
    <w:name w:val="Heading 7 Char"/>
    <w:link w:val="Heading7"/>
    <w:semiHidden/>
    <w:rsid w:val="00FF04E3"/>
    <w:rPr>
      <w:rFonts w:ascii="Calibri" w:hAnsi="Calibri"/>
      <w:sz w:val="24"/>
      <w:szCs w:val="24"/>
    </w:rPr>
  </w:style>
  <w:style w:type="character" w:customStyle="1" w:styleId="Heading8Char">
    <w:name w:val="Heading 8 Char"/>
    <w:link w:val="Heading8"/>
    <w:semiHidden/>
    <w:rsid w:val="00FF04E3"/>
    <w:rPr>
      <w:rFonts w:ascii="Calibri" w:hAnsi="Calibri"/>
      <w:i/>
      <w:iCs/>
      <w:sz w:val="24"/>
      <w:szCs w:val="24"/>
    </w:rPr>
  </w:style>
  <w:style w:type="character" w:customStyle="1" w:styleId="Heading9Char">
    <w:name w:val="Heading 9 Char"/>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semiHidden/>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semiHidden/>
    <w:rsid w:val="007402FC"/>
    <w:rPr>
      <w:color w:val="0000FF"/>
      <w:u w:val="single"/>
    </w:rPr>
  </w:style>
  <w:style w:type="paragraph" w:customStyle="1" w:styleId="body-copy-normal">
    <w:name w:val="body-copy-normal"/>
    <w:basedOn w:val="Normal"/>
    <w:rsid w:val="00FF3503"/>
    <w:pPr>
      <w:spacing w:before="100" w:beforeAutospacing="1" w:after="100" w:afterAutospacing="1"/>
    </w:pPr>
    <w:rPr>
      <w:szCs w:val="24"/>
    </w:rPr>
  </w:style>
  <w:style w:type="paragraph" w:customStyle="1" w:styleId="body-copy-ndent">
    <w:name w:val="body-copy-ndent"/>
    <w:basedOn w:val="Normal"/>
    <w:rsid w:val="00FF3503"/>
    <w:pPr>
      <w:spacing w:before="100" w:beforeAutospacing="1" w:after="100" w:afterAutospacing="1"/>
    </w:pPr>
    <w:rPr>
      <w:szCs w:val="24"/>
    </w:rPr>
  </w:style>
  <w:style w:type="character" w:styleId="Strong">
    <w:name w:val="Strong"/>
    <w:uiPriority w:val="22"/>
    <w:qFormat/>
    <w:rsid w:val="00FF3503"/>
    <w:rPr>
      <w:b/>
      <w:bCs/>
    </w:rPr>
  </w:style>
  <w:style w:type="character" w:styleId="CommentReference">
    <w:name w:val="annotation reference"/>
    <w:semiHidden/>
    <w:rsid w:val="002800B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23527">
      <w:bodyDiv w:val="1"/>
      <w:marLeft w:val="0"/>
      <w:marRight w:val="0"/>
      <w:marTop w:val="0"/>
      <w:marBottom w:val="0"/>
      <w:divBdr>
        <w:top w:val="none" w:sz="0" w:space="0" w:color="auto"/>
        <w:left w:val="none" w:sz="0" w:space="0" w:color="auto"/>
        <w:bottom w:val="none" w:sz="0" w:space="0" w:color="auto"/>
        <w:right w:val="none" w:sz="0" w:space="0" w:color="auto"/>
      </w:divBdr>
    </w:div>
    <w:div w:id="940841139">
      <w:bodyDiv w:val="1"/>
      <w:marLeft w:val="0"/>
      <w:marRight w:val="0"/>
      <w:marTop w:val="0"/>
      <w:marBottom w:val="0"/>
      <w:divBdr>
        <w:top w:val="none" w:sz="0" w:space="0" w:color="auto"/>
        <w:left w:val="none" w:sz="0" w:space="0" w:color="auto"/>
        <w:bottom w:val="none" w:sz="0" w:space="0" w:color="auto"/>
        <w:right w:val="none" w:sz="0" w:space="0" w:color="auto"/>
      </w:divBdr>
    </w:div>
    <w:div w:id="1223639762">
      <w:bodyDiv w:val="1"/>
      <w:marLeft w:val="0"/>
      <w:marRight w:val="0"/>
      <w:marTop w:val="0"/>
      <w:marBottom w:val="0"/>
      <w:divBdr>
        <w:top w:val="none" w:sz="0" w:space="0" w:color="auto"/>
        <w:left w:val="none" w:sz="0" w:space="0" w:color="auto"/>
        <w:bottom w:val="none" w:sz="0" w:space="0" w:color="auto"/>
        <w:right w:val="none" w:sz="0" w:space="0" w:color="auto"/>
      </w:divBdr>
    </w:div>
    <w:div w:id="1273397245">
      <w:bodyDiv w:val="1"/>
      <w:marLeft w:val="0"/>
      <w:marRight w:val="0"/>
      <w:marTop w:val="0"/>
      <w:marBottom w:val="0"/>
      <w:divBdr>
        <w:top w:val="none" w:sz="0" w:space="0" w:color="auto"/>
        <w:left w:val="none" w:sz="0" w:space="0" w:color="auto"/>
        <w:bottom w:val="none" w:sz="0" w:space="0" w:color="auto"/>
        <w:right w:val="none" w:sz="0" w:space="0" w:color="auto"/>
      </w:divBdr>
    </w:div>
    <w:div w:id="1450274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855</TotalTime>
  <Pages>4</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Hanson;Dawit Tegbaru;Brian Sedora</dc:creator>
  <cp:keywords/>
  <cp:lastModifiedBy>Qifei Niu</cp:lastModifiedBy>
  <cp:revision>149</cp:revision>
  <cp:lastPrinted>2014-09-30T16:49:00Z</cp:lastPrinted>
  <dcterms:created xsi:type="dcterms:W3CDTF">2016-06-06T17:38:00Z</dcterms:created>
  <dcterms:modified xsi:type="dcterms:W3CDTF">2020-09-30T21:48:00Z</dcterms:modified>
</cp:coreProperties>
</file>