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60"/>
      </w:pPr>
      <w:r>
        <w:rPr>
          <w:rFonts w:ascii="Calibri" w:hAnsi="Calibri" w:eastAsia="Microsoft YaHei"/>
          <w:b/>
          <w:color w:val="0B2545"/>
          <w:sz w:val="42"/>
        </w:rPr>
        <w:t>APT-Fusionstep2b1 项目简要进度说明</w:t>
      </w:r>
    </w:p>
    <w:p>
      <w:pPr>
        <w:spacing w:after="240"/>
      </w:pPr>
      <w:r>
        <w:rPr>
          <w:rFonts w:ascii="Calibri" w:hAnsi="Calibri" w:eastAsia="Microsoft YaHei"/>
          <w:b w:val="0"/>
          <w:color w:val="666666"/>
          <w:sz w:val="20"/>
        </w:rPr>
        <w:t>整理日期：2026-07-25</w:t>
      </w:r>
    </w:p>
    <w:p>
      <w:pPr>
        <w:keepNext/>
        <w:spacing w:before="240" w:after="100"/>
      </w:pPr>
      <w:r>
        <w:rPr>
          <w:rFonts w:ascii="Calibri" w:hAnsi="Calibri" w:eastAsia="Microsoft YaHei"/>
          <w:b/>
          <w:color w:val="2E74B5"/>
          <w:sz w:val="26"/>
        </w:rPr>
        <w:t>目前整体进展</w:t>
      </w:r>
    </w:p>
    <w:p>
      <w:pPr>
        <w:spacing w:after="120" w:line="269" w:lineRule="auto"/>
      </w:pPr>
      <w:r>
        <w:rPr>
          <w:rFonts w:ascii="Calibri" w:hAnsi="Calibri" w:eastAsia="Microsoft YaHei"/>
          <w:b w:val="0"/>
          <w:color w:val="222222"/>
          <w:sz w:val="21"/>
        </w:rPr>
        <w:t>目前攻击战术分析部分已经比较完善。我们已经在 TRACE、CADETS 和 THEIA TC3 上反复按照攻击报告和原始日志核对过：先看攻击过程能不能被找出来，再看最后给出的战术是否合理。对那些已经有完整攻击过程的窗口，整体效果是比较好的。</w:t>
      </w:r>
    </w:p>
    <w:p>
      <w:pPr>
        <w:spacing w:after="120" w:line="269" w:lineRule="auto"/>
      </w:pPr>
      <w:r>
        <w:rPr>
          <w:rFonts w:ascii="Calibri" w:hAnsi="Calibri" w:eastAsia="Microsoft YaHei"/>
          <w:b w:val="0"/>
          <w:color w:val="222222"/>
          <w:sz w:val="21"/>
        </w:rPr>
        <w:t>不过，最近发现一个更前面的问题：之前使用的一些数据集里，切分出来的恶意任务图太少，而良性任务图数量非常多。这样会让训练和测试都很不平衡，也会限制后续攻击战术分析的上限。所以现在的重点逐渐转向寻找更适合做任务图检测和训练的新数据集。</w:t>
      </w:r>
    </w:p>
    <w:p>
      <w:pPr>
        <w:keepNext/>
        <w:spacing w:before="240" w:after="100"/>
      </w:pPr>
      <w:r>
        <w:rPr>
          <w:rFonts w:ascii="Calibri" w:hAnsi="Calibri" w:eastAsia="Microsoft YaHei"/>
          <w:b/>
          <w:color w:val="2E74B5"/>
          <w:sz w:val="26"/>
        </w:rPr>
        <w:t>已有数据集上的攻击战术分析结果</w:t>
      </w:r>
    </w:p>
    <w:p>
      <w:pPr>
        <w:spacing w:after="120" w:line="269" w:lineRule="auto"/>
      </w:pPr>
      <w:r>
        <w:rPr>
          <w:rFonts w:ascii="Calibri" w:hAnsi="Calibri" w:eastAsia="Microsoft YaHei"/>
          <w:b w:val="0"/>
          <w:color w:val="222222"/>
          <w:sz w:val="21"/>
        </w:rPr>
        <w:t>下表只统计已经找到了完整攻击过程的攻击窗口，不把没有任务图或没有链条的空窗口算进去。这样反映的是后半段攻击战术分析本身的效果，而不是前面任务图是否落入时间窗口的问题。</w:t>
      </w:r>
    </w:p>
    <w:tbl>
      <w:tblPr>
        <w:tblW w:type="dxa" w:w="9360"/>
        <w:tblLayout w:type="fixed"/>
        <w:tblLook w:firstColumn="1" w:firstRow="1" w:lastColumn="0" w:lastRow="0" w:noHBand="0" w:noVBand="1" w:val="04A0"/>
        <w:tblInd w:w="120" w:type="dxa"/>
      </w:tblPr>
      <w:tblGrid>
        <w:gridCol w:w="1450"/>
        <w:gridCol w:w="1750"/>
        <w:gridCol w:w="1750"/>
        <w:gridCol w:w="1750"/>
        <w:gridCol w:w="2660"/>
      </w:tblGrid>
      <w:tr>
        <w:tc>
          <w:tcPr>
            <w:tcW w:type="dxa" w:w="145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数据集</w:t>
            </w:r>
          </w:p>
        </w:tc>
        <w:tc>
          <w:tcPr>
            <w:tcW w:type="dxa" w:w="175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有完整链条的窗口</w:t>
            </w:r>
          </w:p>
        </w:tc>
        <w:tc>
          <w:tcPr>
            <w:tcW w:type="dxa" w:w="175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窗口命中率</w:t>
            </w:r>
          </w:p>
        </w:tc>
        <w:tc>
          <w:tcPr>
            <w:tcW w:type="dxa" w:w="175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战术召回率</w:t>
            </w:r>
          </w:p>
        </w:tc>
        <w:tc>
          <w:tcPr>
            <w:tcW w:type="dxa" w:w="2660"/>
            <w:tcMar>
              <w:top w:w="80" w:type="dxa"/>
              <w:start w:w="120" w:type="dxa"/>
              <w:bottom w:w="80" w:type="dxa"/>
              <w:end w:w="120" w:type="dxa"/>
            </w:tcMar>
            <w:vAlign w:val="center"/>
            <w:shd w:fill="E8EEF5"/>
          </w:tcPr>
          <w:p>
            <w:pPr>
              <w:spacing w:after="0" w:line="259" w:lineRule="auto"/>
              <w:jc w:val="center"/>
            </w:pPr>
            <w:r/>
            <w:r>
              <w:rPr>
                <w:rFonts w:ascii="Calibri" w:hAnsi="Calibri" w:eastAsia="Microsoft YaHei"/>
                <w:b/>
                <w:color w:val="0B2545"/>
                <w:sz w:val="19"/>
              </w:rPr>
              <w:t>战术精度</w:t>
            </w:r>
          </w:p>
        </w:tc>
      </w:tr>
      <w:tr>
        <w:tc>
          <w:tcPr>
            <w:tcW w:type="dxa" w:w="1450"/>
          </w:tcPr>
          <w:p>
            <w:pPr>
              <w:spacing w:after="0" w:line="259" w:lineRule="auto"/>
              <w:jc w:val="center"/>
            </w:pPr>
            <w:r/>
            <w:r>
              <w:rPr>
                <w:rFonts w:ascii="Calibri" w:hAnsi="Calibri" w:eastAsia="Microsoft YaHei"/>
                <w:b/>
                <w:color w:val="0B2545"/>
                <w:sz w:val="19"/>
              </w:rPr>
              <w:t>TRACE</w:t>
            </w:r>
          </w:p>
        </w:tc>
        <w:tc>
          <w:tcPr>
            <w:tcW w:type="dxa" w:w="1750"/>
          </w:tcPr>
          <w:p>
            <w:pPr>
              <w:spacing w:after="0" w:line="259" w:lineRule="auto"/>
              <w:jc w:val="center"/>
            </w:pPr>
            <w:r/>
            <w:r>
              <w:rPr>
                <w:rFonts w:ascii="Calibri" w:hAnsi="Calibri" w:eastAsia="Microsoft YaHei"/>
                <w:b w:val="0"/>
                <w:color w:val="222222"/>
                <w:sz w:val="19"/>
              </w:rPr>
              <w:t>2 个</w:t>
            </w:r>
          </w:p>
        </w:tc>
        <w:tc>
          <w:tcPr>
            <w:tcW w:type="dxa" w:w="1750"/>
          </w:tcPr>
          <w:p>
            <w:pPr>
              <w:spacing w:after="0" w:line="259" w:lineRule="auto"/>
              <w:jc w:val="center"/>
            </w:pPr>
            <w:r/>
            <w:r>
              <w:rPr>
                <w:rFonts w:ascii="Calibri" w:hAnsi="Calibri" w:eastAsia="Microsoft YaHei"/>
                <w:b w:val="0"/>
                <w:color w:val="222222"/>
                <w:sz w:val="19"/>
              </w:rPr>
              <w:t>100%</w:t>
            </w:r>
          </w:p>
        </w:tc>
        <w:tc>
          <w:tcPr>
            <w:tcW w:type="dxa" w:w="1750"/>
          </w:tcPr>
          <w:p>
            <w:pPr>
              <w:spacing w:after="0" w:line="259" w:lineRule="auto"/>
              <w:jc w:val="center"/>
            </w:pPr>
            <w:r/>
            <w:r>
              <w:rPr>
                <w:rFonts w:ascii="Calibri" w:hAnsi="Calibri" w:eastAsia="Microsoft YaHei"/>
                <w:b w:val="0"/>
                <w:color w:val="222222"/>
                <w:sz w:val="19"/>
              </w:rPr>
              <w:t>90.0%</w:t>
            </w:r>
          </w:p>
        </w:tc>
        <w:tc>
          <w:tcPr>
            <w:tcW w:type="dxa" w:w="2660"/>
          </w:tcPr>
          <w:p>
            <w:pPr>
              <w:spacing w:after="0" w:line="259" w:lineRule="auto"/>
              <w:jc w:val="center"/>
            </w:pPr>
            <w:r/>
            <w:r>
              <w:rPr>
                <w:rFonts w:ascii="Calibri" w:hAnsi="Calibri" w:eastAsia="Microsoft YaHei"/>
                <w:b w:val="0"/>
                <w:color w:val="222222"/>
                <w:sz w:val="19"/>
              </w:rPr>
              <w:t>100.0%</w:t>
            </w:r>
          </w:p>
        </w:tc>
      </w:tr>
      <w:tr>
        <w:tc>
          <w:tcPr>
            <w:tcW w:type="dxa" w:w="1450"/>
          </w:tcPr>
          <w:p>
            <w:pPr>
              <w:spacing w:after="0" w:line="259" w:lineRule="auto"/>
              <w:jc w:val="center"/>
            </w:pPr>
            <w:r/>
            <w:r>
              <w:rPr>
                <w:rFonts w:ascii="Calibri" w:hAnsi="Calibri" w:eastAsia="Microsoft YaHei"/>
                <w:b/>
                <w:color w:val="0B2545"/>
                <w:sz w:val="19"/>
              </w:rPr>
              <w:t>CADETS</w:t>
            </w:r>
          </w:p>
        </w:tc>
        <w:tc>
          <w:tcPr>
            <w:tcW w:type="dxa" w:w="1750"/>
          </w:tcPr>
          <w:p>
            <w:pPr>
              <w:spacing w:after="0" w:line="259" w:lineRule="auto"/>
              <w:jc w:val="center"/>
            </w:pPr>
            <w:r/>
            <w:r>
              <w:rPr>
                <w:rFonts w:ascii="Calibri" w:hAnsi="Calibri" w:eastAsia="Microsoft YaHei"/>
                <w:b w:val="0"/>
                <w:color w:val="222222"/>
                <w:sz w:val="19"/>
              </w:rPr>
              <w:t>2 个</w:t>
            </w:r>
          </w:p>
        </w:tc>
        <w:tc>
          <w:tcPr>
            <w:tcW w:type="dxa" w:w="1750"/>
          </w:tcPr>
          <w:p>
            <w:pPr>
              <w:spacing w:after="0" w:line="259" w:lineRule="auto"/>
              <w:jc w:val="center"/>
            </w:pPr>
            <w:r/>
            <w:r>
              <w:rPr>
                <w:rFonts w:ascii="Calibri" w:hAnsi="Calibri" w:eastAsia="Microsoft YaHei"/>
                <w:b w:val="0"/>
                <w:color w:val="222222"/>
                <w:sz w:val="19"/>
              </w:rPr>
              <w:t>100%</w:t>
            </w:r>
          </w:p>
        </w:tc>
        <w:tc>
          <w:tcPr>
            <w:tcW w:type="dxa" w:w="1750"/>
          </w:tcPr>
          <w:p>
            <w:pPr>
              <w:spacing w:after="0" w:line="259" w:lineRule="auto"/>
              <w:jc w:val="center"/>
            </w:pPr>
            <w:r/>
            <w:r>
              <w:rPr>
                <w:rFonts w:ascii="Calibri" w:hAnsi="Calibri" w:eastAsia="Microsoft YaHei"/>
                <w:b w:val="0"/>
                <w:color w:val="222222"/>
                <w:sz w:val="19"/>
              </w:rPr>
              <w:t>83.3%</w:t>
            </w:r>
          </w:p>
        </w:tc>
        <w:tc>
          <w:tcPr>
            <w:tcW w:type="dxa" w:w="2660"/>
          </w:tcPr>
          <w:p>
            <w:pPr>
              <w:spacing w:after="0" w:line="259" w:lineRule="auto"/>
              <w:jc w:val="center"/>
            </w:pPr>
            <w:r/>
            <w:r>
              <w:rPr>
                <w:rFonts w:ascii="Calibri" w:hAnsi="Calibri" w:eastAsia="Microsoft YaHei"/>
                <w:b w:val="0"/>
                <w:color w:val="222222"/>
                <w:sz w:val="19"/>
              </w:rPr>
              <w:t>100.0%</w:t>
            </w:r>
          </w:p>
        </w:tc>
      </w:tr>
      <w:tr>
        <w:tc>
          <w:tcPr>
            <w:tcW w:type="dxa" w:w="1450"/>
          </w:tcPr>
          <w:p>
            <w:pPr>
              <w:spacing w:after="0" w:line="259" w:lineRule="auto"/>
              <w:jc w:val="center"/>
            </w:pPr>
            <w:r/>
            <w:r>
              <w:rPr>
                <w:rFonts w:ascii="Calibri" w:hAnsi="Calibri" w:eastAsia="Microsoft YaHei"/>
                <w:b/>
                <w:color w:val="0B2545"/>
                <w:sz w:val="19"/>
              </w:rPr>
              <w:t>THEIA TC3（step7b）</w:t>
            </w:r>
          </w:p>
        </w:tc>
        <w:tc>
          <w:tcPr>
            <w:tcW w:type="dxa" w:w="1750"/>
          </w:tcPr>
          <w:p>
            <w:pPr>
              <w:spacing w:after="0" w:line="259" w:lineRule="auto"/>
              <w:jc w:val="center"/>
            </w:pPr>
            <w:r/>
            <w:r>
              <w:rPr>
                <w:rFonts w:ascii="Calibri" w:hAnsi="Calibri" w:eastAsia="Microsoft YaHei"/>
                <w:b w:val="0"/>
                <w:color w:val="222222"/>
                <w:sz w:val="19"/>
              </w:rPr>
              <w:t>2 个</w:t>
            </w:r>
          </w:p>
        </w:tc>
        <w:tc>
          <w:tcPr>
            <w:tcW w:type="dxa" w:w="1750"/>
          </w:tcPr>
          <w:p>
            <w:pPr>
              <w:spacing w:after="0" w:line="259" w:lineRule="auto"/>
              <w:jc w:val="center"/>
            </w:pPr>
            <w:r/>
            <w:r>
              <w:rPr>
                <w:rFonts w:ascii="Calibri" w:hAnsi="Calibri" w:eastAsia="Microsoft YaHei"/>
                <w:b w:val="0"/>
                <w:color w:val="222222"/>
                <w:sz w:val="19"/>
              </w:rPr>
              <w:t>100%</w:t>
            </w:r>
          </w:p>
        </w:tc>
        <w:tc>
          <w:tcPr>
            <w:tcW w:type="dxa" w:w="1750"/>
          </w:tcPr>
          <w:p>
            <w:pPr>
              <w:spacing w:after="0" w:line="259" w:lineRule="auto"/>
              <w:jc w:val="center"/>
            </w:pPr>
            <w:r/>
            <w:r>
              <w:rPr>
                <w:rFonts w:ascii="Calibri" w:hAnsi="Calibri" w:eastAsia="Microsoft YaHei"/>
                <w:b w:val="0"/>
                <w:color w:val="222222"/>
                <w:sz w:val="19"/>
              </w:rPr>
              <w:t>100.0%</w:t>
            </w:r>
          </w:p>
        </w:tc>
        <w:tc>
          <w:tcPr>
            <w:tcW w:type="dxa" w:w="2660"/>
          </w:tcPr>
          <w:p>
            <w:pPr>
              <w:spacing w:after="0" w:line="259" w:lineRule="auto"/>
              <w:jc w:val="center"/>
            </w:pPr>
            <w:r/>
            <w:r>
              <w:rPr>
                <w:rFonts w:ascii="Calibri" w:hAnsi="Calibri" w:eastAsia="Microsoft YaHei"/>
                <w:b w:val="0"/>
                <w:color w:val="222222"/>
                <w:sz w:val="19"/>
              </w:rPr>
              <w:t>100.0%</w:t>
            </w:r>
          </w:p>
        </w:tc>
      </w:tr>
    </w:tbl>
    <w:p>
      <w:pPr>
        <w:spacing w:before="80" w:after="80"/>
      </w:pPr>
      <w:r>
        <w:rPr>
          <w:rFonts w:ascii="Calibri" w:hAnsi="Calibri" w:eastAsia="Microsoft YaHei"/>
          <w:b w:val="0"/>
          <w:color w:val="666666"/>
          <w:sz w:val="19"/>
        </w:rPr>
        <w:t>说明：THEIA TC3 另有一个攻击窗口没有匹配到任务图，因此没有纳入本表；它属于前面任务图和时间窗口对齐的问题，不应与战术分析本身混在一起计算。</w:t>
      </w:r>
    </w:p>
    <w:p>
      <w:pPr>
        <w:keepNext/>
        <w:spacing w:before="240" w:after="100"/>
      </w:pPr>
      <w:r>
        <w:rPr>
          <w:rFonts w:ascii="Calibri" w:hAnsi="Calibri" w:eastAsia="Microsoft YaHei"/>
          <w:b/>
          <w:color w:val="2E74B5"/>
          <w:sz w:val="26"/>
        </w:rPr>
        <w:t>为什么开始重点找新数据集</w:t>
      </w:r>
    </w:p>
    <w:p>
      <w:pPr>
        <w:pStyle w:val="ListBullet"/>
        <w:spacing w:after="60" w:line="259" w:lineRule="auto"/>
      </w:pPr>
      <w:r>
        <w:rPr>
          <w:rFonts w:ascii="Calibri" w:hAnsi="Calibri" w:eastAsia="Microsoft YaHei"/>
          <w:b w:val="0"/>
          <w:color w:val="222222"/>
          <w:sz w:val="20"/>
        </w:rPr>
        <w:t>攻击战术分析要建立在“前面已经找到了比较完整的恶意任务图”这个前提上。</w:t>
      </w:r>
    </w:p>
    <w:p>
      <w:pPr>
        <w:pStyle w:val="ListBullet"/>
        <w:spacing w:after="60" w:line="259" w:lineRule="auto"/>
      </w:pPr>
      <w:r>
        <w:rPr>
          <w:rFonts w:ascii="Calibri" w:hAnsi="Calibri" w:eastAsia="Microsoft YaHei"/>
          <w:b w:val="0"/>
          <w:color w:val="222222"/>
          <w:sz w:val="20"/>
        </w:rPr>
        <w:t>以前的一些数据集中，恶意任务图数量非常少，和大量良性任务图相比差距太大。模型很容易学成“全部判断为良性也很安全”，这会影响真正的检测能力。</w:t>
      </w:r>
    </w:p>
    <w:p>
      <w:pPr>
        <w:pStyle w:val="ListBullet"/>
        <w:spacing w:after="60" w:line="259" w:lineRule="auto"/>
      </w:pPr>
      <w:r>
        <w:rPr>
          <w:rFonts w:ascii="Calibri" w:hAnsi="Calibri" w:eastAsia="Microsoft YaHei"/>
          <w:b w:val="0"/>
          <w:color w:val="222222"/>
          <w:sz w:val="20"/>
        </w:rPr>
        <w:t>目前看，TC3 的 THEIA 和 FiveDirections 两个数据集在任务图检测上更有希望：日志更适合处理，恶意任务图和良性任务图的数量关系也更接近实际训练需要。</w:t>
      </w:r>
    </w:p>
    <w:p>
      <w:pPr>
        <w:keepNext/>
        <w:spacing w:before="240" w:after="100"/>
      </w:pPr>
      <w:r>
        <w:rPr>
          <w:rFonts w:ascii="Calibri" w:hAnsi="Calibri" w:eastAsia="Microsoft YaHei"/>
          <w:b/>
          <w:color w:val="2E74B5"/>
          <w:sz w:val="26"/>
        </w:rPr>
        <w:t>THEIA E5 的最新情况</w:t>
      </w:r>
    </w:p>
    <w:p>
      <w:pPr>
        <w:spacing w:after="120" w:line="269" w:lineRule="auto"/>
      </w:pPr>
      <w:r>
        <w:rPr>
          <w:rFonts w:ascii="Calibri" w:hAnsi="Calibri" w:eastAsia="Microsoft YaHei"/>
          <w:b w:val="0"/>
          <w:color w:val="222222"/>
          <w:sz w:val="21"/>
        </w:rPr>
        <w:t>我们已经试着接入了 THEIA E5 中一台主机的日志，也核对了恶意名单里记录的是进程、文件还是网络连接。文件和网络连接可以回查到对应进程，说明数据格式已经能够正确使用。</w:t>
      </w:r>
    </w:p>
    <w:p>
      <w:pPr>
        <w:spacing w:after="120" w:line="269" w:lineRule="auto"/>
      </w:pPr>
      <w:r>
        <w:rPr>
          <w:rFonts w:ascii="Calibri" w:hAnsi="Calibri" w:eastAsia="Microsoft YaHei"/>
          <w:b w:val="0"/>
          <w:color w:val="222222"/>
          <w:sz w:val="21"/>
        </w:rPr>
        <w:t>但这台主机仍然存在和旧数据集类似的问题：总共切出了 44,793 张任务图，其中能确认包含恶意进程的只有 18 张。正负样本差距仍然很大。另外，少数任务图特别大，里面混进了大量无关进程，会把少量恶意行为冲淡。</w:t>
      </w:r>
    </w:p>
    <w:p>
      <w:pPr>
        <w:keepNext/>
        <w:spacing w:before="240" w:after="100"/>
      </w:pPr>
      <w:r>
        <w:rPr>
          <w:rFonts w:ascii="Calibri" w:hAnsi="Calibri" w:eastAsia="Microsoft YaHei"/>
          <w:b/>
          <w:color w:val="2E74B5"/>
          <w:sz w:val="26"/>
        </w:rPr>
        <w:t>后续计划</w:t>
      </w:r>
    </w:p>
    <w:p>
      <w:pPr>
        <w:pStyle w:val="ListBullet"/>
        <w:spacing w:after="60" w:line="259" w:lineRule="auto"/>
      </w:pPr>
      <w:r>
        <w:rPr>
          <w:rFonts w:ascii="Calibri" w:hAnsi="Calibri" w:eastAsia="Microsoft YaHei"/>
          <w:b w:val="0"/>
          <w:color w:val="222222"/>
          <w:sz w:val="20"/>
        </w:rPr>
        <w:t>继续尝试 E5 里其他主机的日志，看是否能得到更合理的恶意和良性任务图比例。</w:t>
      </w:r>
    </w:p>
    <w:p>
      <w:pPr>
        <w:pStyle w:val="ListBullet"/>
        <w:spacing w:after="60" w:line="259" w:lineRule="auto"/>
      </w:pPr>
      <w:r>
        <w:rPr>
          <w:rFonts w:ascii="Calibri" w:hAnsi="Calibri" w:eastAsia="Microsoft YaHei"/>
          <w:b w:val="0"/>
          <w:color w:val="222222"/>
          <w:sz w:val="20"/>
        </w:rPr>
        <w:t>继续尝试其他数据集，优先选择恶意样本数量更充足、日志字段更完整的数据。</w:t>
      </w:r>
    </w:p>
    <w:p>
      <w:pPr>
        <w:pStyle w:val="ListBullet"/>
        <w:spacing w:after="60" w:line="259" w:lineRule="auto"/>
      </w:pPr>
      <w:r>
        <w:rPr>
          <w:rFonts w:ascii="Calibri" w:hAnsi="Calibri" w:eastAsia="Microsoft YaHei"/>
          <w:b w:val="0"/>
          <w:color w:val="222222"/>
          <w:sz w:val="20"/>
        </w:rPr>
        <w:t>对已经找到的大任务图做进一步拆分和核对，避免很多彼此无关的进程被放在同一张图里。</w:t>
      </w:r>
    </w:p>
    <w:p>
      <w:pPr>
        <w:pStyle w:val="ListBullet"/>
        <w:spacing w:after="60" w:line="259" w:lineRule="auto"/>
      </w:pPr>
      <w:r>
        <w:rPr>
          <w:rFonts w:ascii="Calibri" w:hAnsi="Calibri" w:eastAsia="Microsoft YaHei"/>
          <w:b w:val="0"/>
          <w:color w:val="222222"/>
          <w:sz w:val="20"/>
        </w:rPr>
        <w:t>在新的数据集上先把任务图检测做稳定，再把现有的攻击战术分析流程接上去。</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icrosoft YaHei"/>
        <w:b w:val="0"/>
        <w:color w:val="666666"/>
        <w:sz w:val="17"/>
      </w:rPr>
      <w:t>2026-07-25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YaHei"/>
        <w:b w:val="0"/>
        <w:color w:val="666666"/>
        <w:sz w:val="17"/>
      </w:rPr>
      <w:t>项目简要进度说明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