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TRACE 与 CADETS 任务图检测及下游战术分析消融实验报告</w:t>
      </w:r>
    </w:p>
    <w:p>
      <w:pPr>
        <w:jc w:val="center"/>
      </w:pPr>
      <w:r>
        <w:rPr>
          <w:rFonts w:ascii="Times New Roman" w:hAnsi="Times New Roman" w:eastAsia="宋体"/>
          <w:b w:val="0"/>
          <w:sz w:val="22"/>
        </w:rPr>
        <w:t>Ablation Study Report for Task-Graph Detection and Downstream Tactic Analysis</w:t>
      </w:r>
    </w:p>
    <w:p>
      <w:pPr>
        <w:jc w:val="center"/>
      </w:pPr>
      <w:r>
        <w:rPr>
          <w:rFonts w:ascii="Times New Roman" w:hAnsi="Times New Roman" w:eastAsia="宋体"/>
          <w:b w:val="0"/>
          <w:sz w:val="20"/>
        </w:rPr>
        <w:t>生成日期：2026-07-07</w:t>
      </w:r>
    </w:p>
    <w:p>
      <w:r>
        <w:rPr>
          <w:rFonts w:ascii="Times New Roman" w:hAnsi="Times New Roman" w:eastAsia="黑体"/>
          <w:b/>
          <w:sz w:val="28"/>
        </w:rPr>
        <w:t>摘 要</w:t>
      </w:r>
    </w:p>
    <w:p>
      <w:pPr>
        <w:spacing w:line="360" w:lineRule="auto"/>
        <w:ind w:firstLine="420"/>
      </w:pPr>
      <w:r>
        <w:rPr>
          <w:rFonts w:ascii="Times New Roman" w:hAnsi="Times New Roman" w:eastAsia="宋体"/>
          <w:b w:val="0"/>
          <w:sz w:val="24"/>
        </w:rPr>
        <w:t>本文整理了 2026-07-06 在 TRACE 与 CADETS 数据集上完成的一组任务图检测与下游战术识别消融实验。实验围绕图统计晚期融合开关、节点特征组织方式以及任务切图策略三个维度展开，并统一在 augment-before-split 条件下比较模块2 的恶意任务图检测性能与下游战术检测指标。结果表明：TRACE 对 1.1 与 1.2 类改动高度稳定，真正敏感的因素是切图策略；CADETS 则对统计特征组织与切图粒度都更敏感，其中 baseline 在保持恶意任务覆盖方面最稳，而 connected 切图在两个数据集上都显著劣化。</w:t>
      </w:r>
    </w:p>
    <w:p>
      <w:pPr>
        <w:spacing w:line="360" w:lineRule="auto"/>
        <w:ind w:firstLine="420"/>
      </w:pPr>
      <w:r>
        <w:rPr>
          <w:rFonts w:ascii="Times New Roman" w:hAnsi="Times New Roman" w:eastAsia="宋体"/>
          <w:b w:val="0"/>
          <w:sz w:val="24"/>
        </w:rPr>
        <w:t>关键词：任务图检测；GraphSAGE；图统计晚期融合；任务切图；TRACE；CADETS；战术识别</w:t>
      </w:r>
    </w:p>
    <w:p>
      <w:r>
        <w:rPr>
          <w:rFonts w:ascii="Times New Roman" w:hAnsi="Times New Roman" w:eastAsia="黑体"/>
          <w:b/>
          <w:sz w:val="28"/>
        </w:rPr>
        <w:t>1 实验背景与目的</w:t>
      </w:r>
    </w:p>
    <w:p>
      <w:pPr>
        <w:spacing w:line="360" w:lineRule="auto"/>
        <w:ind w:firstLine="420"/>
      </w:pPr>
      <w:r>
        <w:rPr>
          <w:rFonts w:ascii="Times New Roman" w:hAnsi="Times New Roman" w:eastAsia="宋体"/>
          <w:b w:val="0"/>
          <w:sz w:val="24"/>
        </w:rPr>
        <w:t>本轮实验的目标是评估三类设计因素对任务图检测和下游战术分析的影响：其一，图统计特征作为独立辅助分类器时是否能提供稳定增益；其二，统计特征应当通过早期拼接还是晚期融合进入模型；其三，任务切图粒度如何影响任务数量、模块2 检测质量以及攻击窗口级战术召回。</w:t>
      </w:r>
    </w:p>
    <w:p>
      <w:r>
        <w:rPr>
          <w:rFonts w:ascii="Times New Roman" w:hAnsi="Times New Roman" w:eastAsia="黑体"/>
          <w:b/>
          <w:sz w:val="28"/>
        </w:rPr>
        <w:t>2 实验设计</w:t>
      </w:r>
    </w:p>
    <w:p>
      <w:pPr>
        <w:jc w:val="center"/>
      </w:pPr>
      <w:r>
        <w:rPr>
          <w:rFonts w:ascii="Times New Roman" w:hAnsi="Times New Roman" w:eastAsia="黑体"/>
          <w:b w:val="0"/>
          <w:sz w:val="20"/>
        </w:rPr>
        <w:t>表 1  消融实验设计</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tcPr>
          <w:p>
            <w:pPr>
              <w:jc w:val="center"/>
            </w:pPr>
            <w:r/>
            <w:r>
              <w:rPr>
                <w:rFonts w:ascii="Times New Roman" w:hAnsi="Times New Roman" w:eastAsia="宋体"/>
                <w:b/>
                <w:sz w:val="20"/>
              </w:rPr>
              <w:t>编号</w:t>
            </w:r>
          </w:p>
        </w:tc>
        <w:tc>
          <w:tcPr>
            <w:tcW w:type="dxa" w:w="2280"/>
            <w:vAlign w:val="center"/>
          </w:tcPr>
          <w:p>
            <w:pPr>
              <w:jc w:val="center"/>
            </w:pPr>
            <w:r/>
            <w:r>
              <w:rPr>
                <w:rFonts w:ascii="Times New Roman" w:hAnsi="Times New Roman" w:eastAsia="宋体"/>
                <w:b/>
                <w:sz w:val="20"/>
              </w:rPr>
              <w:t>变量</w:t>
            </w:r>
          </w:p>
        </w:tc>
        <w:tc>
          <w:tcPr>
            <w:tcW w:type="dxa" w:w="2280"/>
            <w:vAlign w:val="center"/>
          </w:tcPr>
          <w:p>
            <w:pPr>
              <w:jc w:val="center"/>
            </w:pPr>
            <w:r/>
            <w:r>
              <w:rPr>
                <w:rFonts w:ascii="Times New Roman" w:hAnsi="Times New Roman" w:eastAsia="宋体"/>
                <w:b/>
                <w:sz w:val="20"/>
              </w:rPr>
              <w:t>对照设置</w:t>
            </w:r>
          </w:p>
        </w:tc>
        <w:tc>
          <w:tcPr>
            <w:tcW w:type="dxa" w:w="2280"/>
            <w:vAlign w:val="center"/>
          </w:tcPr>
          <w:p>
            <w:pPr>
              <w:jc w:val="center"/>
            </w:pPr>
            <w:r/>
            <w:r>
              <w:rPr>
                <w:rFonts w:ascii="Times New Roman" w:hAnsi="Times New Roman" w:eastAsia="宋体"/>
                <w:b/>
                <w:sz w:val="20"/>
              </w:rPr>
              <w:t>研究目的</w:t>
            </w:r>
          </w:p>
        </w:tc>
      </w:tr>
      <w:tr>
        <w:tc>
          <w:tcPr>
            <w:tcW w:type="dxa" w:w="2280"/>
            <w:vAlign w:val="center"/>
          </w:tcPr>
          <w:p>
            <w:pPr>
              <w:jc w:val="center"/>
            </w:pPr>
            <w:r/>
            <w:r>
              <w:rPr>
                <w:rFonts w:ascii="Times New Roman" w:hAnsi="Times New Roman" w:eastAsia="宋体"/>
                <w:b w:val="0"/>
                <w:sz w:val="20"/>
              </w:rPr>
              <w:t>1.1</w:t>
            </w:r>
          </w:p>
        </w:tc>
        <w:tc>
          <w:tcPr>
            <w:tcW w:type="dxa" w:w="2280"/>
            <w:vAlign w:val="center"/>
          </w:tcPr>
          <w:p>
            <w:pPr>
              <w:jc w:val="center"/>
            </w:pPr>
            <w:r/>
            <w:r>
              <w:rPr>
                <w:rFonts w:ascii="Times New Roman" w:hAnsi="Times New Roman" w:eastAsia="宋体"/>
                <w:b w:val="0"/>
                <w:sz w:val="20"/>
              </w:rPr>
              <w:t>图统计晚期融合开关</w:t>
            </w:r>
          </w:p>
        </w:tc>
        <w:tc>
          <w:tcPr>
            <w:tcW w:type="dxa" w:w="2280"/>
            <w:vAlign w:val="center"/>
          </w:tcPr>
          <w:p>
            <w:pPr>
              <w:jc w:val="center"/>
            </w:pPr>
            <w:r/>
            <w:r>
              <w:rPr>
                <w:rFonts w:ascii="Times New Roman" w:hAnsi="Times New Roman" w:eastAsia="宋体"/>
                <w:b w:val="0"/>
                <w:sz w:val="20"/>
              </w:rPr>
              <w:t>baseline vs latefusion_off</w:t>
            </w:r>
          </w:p>
        </w:tc>
        <w:tc>
          <w:tcPr>
            <w:tcW w:type="dxa" w:w="2280"/>
            <w:vAlign w:val="center"/>
          </w:tcPr>
          <w:p>
            <w:pPr>
              <w:jc w:val="center"/>
            </w:pPr>
            <w:r/>
            <w:r>
              <w:rPr>
                <w:rFonts w:ascii="Times New Roman" w:hAnsi="Times New Roman" w:eastAsia="宋体"/>
                <w:b w:val="0"/>
                <w:sz w:val="20"/>
              </w:rPr>
              <w:t>检验 GraphSAGE 主干之外的图统计辅助分类器是否提供稳定增益。</w:t>
            </w:r>
          </w:p>
        </w:tc>
      </w:tr>
      <w:tr>
        <w:tc>
          <w:tcPr>
            <w:tcW w:type="dxa" w:w="2280"/>
            <w:vAlign w:val="center"/>
          </w:tcPr>
          <w:p>
            <w:pPr>
              <w:jc w:val="center"/>
            </w:pPr>
            <w:r/>
            <w:r>
              <w:rPr>
                <w:rFonts w:ascii="Times New Roman" w:hAnsi="Times New Roman" w:eastAsia="宋体"/>
                <w:b w:val="0"/>
                <w:sz w:val="20"/>
              </w:rPr>
              <w:t>1.2</w:t>
            </w:r>
          </w:p>
        </w:tc>
        <w:tc>
          <w:tcPr>
            <w:tcW w:type="dxa" w:w="2280"/>
            <w:vAlign w:val="center"/>
          </w:tcPr>
          <w:p>
            <w:pPr>
              <w:jc w:val="center"/>
            </w:pPr>
            <w:r/>
            <w:r>
              <w:rPr>
                <w:rFonts w:ascii="Times New Roman" w:hAnsi="Times New Roman" w:eastAsia="宋体"/>
                <w:b w:val="0"/>
                <w:sz w:val="20"/>
              </w:rPr>
              <w:t>节点特征组织方式</w:t>
            </w:r>
          </w:p>
        </w:tc>
        <w:tc>
          <w:tcPr>
            <w:tcW w:type="dxa" w:w="2280"/>
            <w:vAlign w:val="center"/>
          </w:tcPr>
          <w:p>
            <w:pPr>
              <w:jc w:val="center"/>
            </w:pPr>
            <w:r/>
            <w:r>
              <w:rPr>
                <w:rFonts w:ascii="Times New Roman" w:hAnsi="Times New Roman" w:eastAsia="宋体"/>
                <w:b w:val="0"/>
                <w:sz w:val="20"/>
              </w:rPr>
              <w:t>late fusion / early concat / sequence only</w:t>
            </w:r>
          </w:p>
        </w:tc>
        <w:tc>
          <w:tcPr>
            <w:tcW w:type="dxa" w:w="2280"/>
            <w:vAlign w:val="center"/>
          </w:tcPr>
          <w:p>
            <w:pPr>
              <w:jc w:val="center"/>
            </w:pPr>
            <w:r/>
            <w:r>
              <w:rPr>
                <w:rFonts w:ascii="Times New Roman" w:hAnsi="Times New Roman" w:eastAsia="宋体"/>
                <w:b w:val="0"/>
                <w:sz w:val="20"/>
              </w:rPr>
              <w:t>比较统计特征更适合作为独立辅助分支，还是直接并入节点主干表示。</w:t>
            </w:r>
          </w:p>
        </w:tc>
      </w:tr>
      <w:tr>
        <w:tc>
          <w:tcPr>
            <w:tcW w:type="dxa" w:w="2280"/>
            <w:vAlign w:val="center"/>
          </w:tcPr>
          <w:p>
            <w:pPr>
              <w:jc w:val="center"/>
            </w:pPr>
            <w:r/>
            <w:r>
              <w:rPr>
                <w:rFonts w:ascii="Times New Roman" w:hAnsi="Times New Roman" w:eastAsia="宋体"/>
                <w:b w:val="0"/>
                <w:sz w:val="20"/>
              </w:rPr>
              <w:t>1.3</w:t>
            </w:r>
          </w:p>
        </w:tc>
        <w:tc>
          <w:tcPr>
            <w:tcW w:type="dxa" w:w="2280"/>
            <w:vAlign w:val="center"/>
          </w:tcPr>
          <w:p>
            <w:pPr>
              <w:jc w:val="center"/>
            </w:pPr>
            <w:r/>
            <w:r>
              <w:rPr>
                <w:rFonts w:ascii="Times New Roman" w:hAnsi="Times New Roman" w:eastAsia="宋体"/>
                <w:b w:val="0"/>
                <w:sz w:val="20"/>
              </w:rPr>
              <w:t>任务切图策略</w:t>
            </w:r>
          </w:p>
        </w:tc>
        <w:tc>
          <w:tcPr>
            <w:tcW w:type="dxa" w:w="2280"/>
            <w:vAlign w:val="center"/>
          </w:tcPr>
          <w:p>
            <w:pPr>
              <w:jc w:val="center"/>
            </w:pPr>
            <w:r/>
            <w:r>
              <w:rPr>
                <w:rFonts w:ascii="Times New Roman" w:hAnsi="Times New Roman" w:eastAsia="宋体"/>
                <w:b w:val="0"/>
                <w:sz w:val="20"/>
              </w:rPr>
              <w:t>fanout 阈值、include/exclude segmented、connected</w:t>
            </w:r>
          </w:p>
        </w:tc>
        <w:tc>
          <w:tcPr>
            <w:tcW w:type="dxa" w:w="2280"/>
            <w:vAlign w:val="center"/>
          </w:tcPr>
          <w:p>
            <w:pPr>
              <w:jc w:val="center"/>
            </w:pPr>
            <w:r/>
            <w:r>
              <w:rPr>
                <w:rFonts w:ascii="Times New Roman" w:hAnsi="Times New Roman" w:eastAsia="宋体"/>
                <w:b w:val="0"/>
                <w:sz w:val="20"/>
              </w:rPr>
              <w:t>分析切图粒度对任务数量、模块2分类稳定性及下游战术识别的影响。</w:t>
            </w:r>
          </w:p>
        </w:tc>
      </w:tr>
    </w:tbl>
    <w:p/>
    <w:p>
      <w:pPr>
        <w:spacing w:line="360" w:lineRule="auto"/>
        <w:ind w:firstLine="420"/>
      </w:pPr>
      <w:r>
        <w:rPr>
          <w:rFonts w:ascii="Times New Roman" w:hAnsi="Times New Roman" w:eastAsia="宋体"/>
          <w:b w:val="0"/>
          <w:sz w:val="24"/>
        </w:rPr>
        <w:t>模块2结果使用 fit_predict 阶段的 Accuracy、Precision、Recall、F1 和 ROC-AUC；下游结果使用 confirmed_window_recall、strict_tactic_recall_macro、strict_tactic_precision_macro 与 off_window_high_risk_rate。对于 TRACE 的 1.1 与 1.2，若模块2 选中的 predicted-positive 任务与 baseline 完全一致，则 runner 直接复用 baseline 的 module3-module6 及评估结果，并在表格中显式标注。</w:t>
      </w:r>
    </w:p>
    <w:p>
      <w:r>
        <w:rPr>
          <w:rFonts w:ascii="Times New Roman" w:hAnsi="Times New Roman" w:eastAsia="黑体"/>
          <w:b/>
          <w:sz w:val="28"/>
        </w:rPr>
        <w:t>3 实验结果</w:t>
      </w:r>
    </w:p>
    <w:p>
      <w:pPr>
        <w:jc w:val="center"/>
      </w:pPr>
      <w:r>
        <w:rPr>
          <w:rFonts w:ascii="Times New Roman" w:hAnsi="Times New Roman" w:eastAsia="黑体"/>
          <w:b w:val="0"/>
          <w:sz w:val="20"/>
        </w:rPr>
        <w:t>表 2  TRACE 消融实验结果</w:t>
      </w:r>
    </w:p>
    <w:tbl>
      <w:tblPr>
        <w:tblStyle w:val="TableGrid"/>
        <w:tblW w:type="auto" w:w="0"/>
        <w:jc w:val="center"/>
        <w:tblLook w:firstColumn="1" w:firstRow="1" w:lastColumn="0" w:lastRow="0" w:noHBand="0" w:noVBand="1" w:val="04A0"/>
      </w:tblPr>
      <w:tblGrid>
        <w:gridCol w:w="829"/>
        <w:gridCol w:w="829"/>
        <w:gridCol w:w="829"/>
        <w:gridCol w:w="829"/>
        <w:gridCol w:w="829"/>
        <w:gridCol w:w="829"/>
        <w:gridCol w:w="829"/>
        <w:gridCol w:w="829"/>
        <w:gridCol w:w="829"/>
        <w:gridCol w:w="829"/>
        <w:gridCol w:w="829"/>
      </w:tblGrid>
      <w:tr>
        <w:tc>
          <w:tcPr>
            <w:tcW w:type="dxa" w:w="829"/>
            <w:vAlign w:val="center"/>
          </w:tcPr>
          <w:p>
            <w:pPr>
              <w:jc w:val="center"/>
            </w:pPr>
            <w:r/>
            <w:r>
              <w:rPr>
                <w:rFonts w:ascii="Times New Roman" w:hAnsi="Times New Roman" w:eastAsia="宋体"/>
                <w:b/>
                <w:sz w:val="20"/>
              </w:rPr>
              <w:t>实验</w:t>
            </w:r>
          </w:p>
        </w:tc>
        <w:tc>
          <w:tcPr>
            <w:tcW w:type="dxa" w:w="829"/>
            <w:vAlign w:val="center"/>
          </w:tcPr>
          <w:p>
            <w:pPr>
              <w:jc w:val="center"/>
            </w:pPr>
            <w:r/>
            <w:r>
              <w:rPr>
                <w:rFonts w:ascii="Times New Roman" w:hAnsi="Times New Roman" w:eastAsia="宋体"/>
                <w:b/>
                <w:sz w:val="20"/>
              </w:rPr>
              <w:t>任务图数</w:t>
            </w:r>
          </w:p>
        </w:tc>
        <w:tc>
          <w:tcPr>
            <w:tcW w:type="dxa" w:w="829"/>
            <w:vAlign w:val="center"/>
          </w:tcPr>
          <w:p>
            <w:pPr>
              <w:jc w:val="center"/>
            </w:pPr>
            <w:r/>
            <w:r>
              <w:rPr>
                <w:rFonts w:ascii="Times New Roman" w:hAnsi="Times New Roman" w:eastAsia="宋体"/>
                <w:b/>
                <w:sz w:val="20"/>
              </w:rPr>
              <w:t>模块2 F1</w:t>
            </w:r>
          </w:p>
        </w:tc>
        <w:tc>
          <w:tcPr>
            <w:tcW w:type="dxa" w:w="829"/>
            <w:vAlign w:val="center"/>
          </w:tcPr>
          <w:p>
            <w:pPr>
              <w:jc w:val="center"/>
            </w:pPr>
            <w:r/>
            <w:r>
              <w:rPr>
                <w:rFonts w:ascii="Times New Roman" w:hAnsi="Times New Roman" w:eastAsia="宋体"/>
                <w:b/>
                <w:sz w:val="20"/>
              </w:rPr>
              <w:t>模块2 AUC</w:t>
            </w:r>
          </w:p>
        </w:tc>
        <w:tc>
          <w:tcPr>
            <w:tcW w:type="dxa" w:w="829"/>
            <w:vAlign w:val="center"/>
          </w:tcPr>
          <w:p>
            <w:pPr>
              <w:jc w:val="center"/>
            </w:pPr>
            <w:r/>
            <w:r>
              <w:rPr>
                <w:rFonts w:ascii="Times New Roman" w:hAnsi="Times New Roman" w:eastAsia="宋体"/>
                <w:b/>
                <w:sz w:val="20"/>
              </w:rPr>
              <w:t>预测正类任务数</w:t>
            </w:r>
          </w:p>
        </w:tc>
        <w:tc>
          <w:tcPr>
            <w:tcW w:type="dxa" w:w="829"/>
            <w:vAlign w:val="center"/>
          </w:tcPr>
          <w:p>
            <w:pPr>
              <w:jc w:val="center"/>
            </w:pPr>
            <w:r/>
            <w:r>
              <w:rPr>
                <w:rFonts w:ascii="Times New Roman" w:hAnsi="Times New Roman" w:eastAsia="宋体"/>
                <w:b/>
                <w:sz w:val="20"/>
              </w:rPr>
              <w:t>候选链条数</w:t>
            </w:r>
          </w:p>
        </w:tc>
        <w:tc>
          <w:tcPr>
            <w:tcW w:type="dxa" w:w="829"/>
            <w:vAlign w:val="center"/>
          </w:tcPr>
          <w:p>
            <w:pPr>
              <w:jc w:val="center"/>
            </w:pPr>
            <w:r/>
            <w:r>
              <w:rPr>
                <w:rFonts w:ascii="Times New Roman" w:hAnsi="Times New Roman" w:eastAsia="宋体"/>
                <w:b/>
                <w:sz w:val="20"/>
              </w:rPr>
              <w:t>窗口召回</w:t>
            </w:r>
          </w:p>
        </w:tc>
        <w:tc>
          <w:tcPr>
            <w:tcW w:type="dxa" w:w="829"/>
            <w:vAlign w:val="center"/>
          </w:tcPr>
          <w:p>
            <w:pPr>
              <w:jc w:val="center"/>
            </w:pPr>
            <w:r/>
            <w:r>
              <w:rPr>
                <w:rFonts w:ascii="Times New Roman" w:hAnsi="Times New Roman" w:eastAsia="宋体"/>
                <w:b/>
                <w:sz w:val="20"/>
              </w:rPr>
              <w:t>战术召回</w:t>
            </w:r>
          </w:p>
        </w:tc>
        <w:tc>
          <w:tcPr>
            <w:tcW w:type="dxa" w:w="829"/>
            <w:vAlign w:val="center"/>
          </w:tcPr>
          <w:p>
            <w:pPr>
              <w:jc w:val="center"/>
            </w:pPr>
            <w:r/>
            <w:r>
              <w:rPr>
                <w:rFonts w:ascii="Times New Roman" w:hAnsi="Times New Roman" w:eastAsia="宋体"/>
                <w:b/>
                <w:sz w:val="20"/>
              </w:rPr>
              <w:t>战术精度</w:t>
            </w:r>
          </w:p>
        </w:tc>
        <w:tc>
          <w:tcPr>
            <w:tcW w:type="dxa" w:w="829"/>
            <w:vAlign w:val="center"/>
          </w:tcPr>
          <w:p>
            <w:pPr>
              <w:jc w:val="center"/>
            </w:pPr>
            <w:r/>
            <w:r>
              <w:rPr>
                <w:rFonts w:ascii="Times New Roman" w:hAnsi="Times New Roman" w:eastAsia="宋体"/>
                <w:b/>
                <w:sz w:val="20"/>
              </w:rPr>
              <w:t>窗外高风险率</w:t>
            </w:r>
          </w:p>
        </w:tc>
        <w:tc>
          <w:tcPr>
            <w:tcW w:type="dxa" w:w="829"/>
            <w:vAlign w:val="center"/>
          </w:tcPr>
          <w:p>
            <w:pPr>
              <w:jc w:val="center"/>
            </w:pPr>
            <w:r/>
            <w:r>
              <w:rPr>
                <w:rFonts w:ascii="Times New Roman" w:hAnsi="Times New Roman" w:eastAsia="宋体"/>
                <w:b/>
                <w:sz w:val="20"/>
              </w:rPr>
              <w:t>备注</w:t>
            </w:r>
          </w:p>
        </w:tc>
      </w:tr>
      <w:tr>
        <w:tc>
          <w:tcPr>
            <w:tcW w:type="dxa" w:w="829"/>
            <w:vAlign w:val="center"/>
          </w:tcPr>
          <w:p>
            <w:pPr>
              <w:jc w:val="center"/>
            </w:pPr>
            <w:r/>
            <w:r>
              <w:rPr>
                <w:rFonts w:ascii="Times New Roman" w:hAnsi="Times New Roman" w:eastAsia="宋体"/>
                <w:b w:val="0"/>
                <w:sz w:val="18"/>
              </w:rPr>
              <w:t>Baseline（晚期融合，fanout&gt;2，exclude）</w:t>
            </w:r>
          </w:p>
        </w:tc>
        <w:tc>
          <w:tcPr>
            <w:tcW w:type="dxa" w:w="829"/>
            <w:vAlign w:val="center"/>
          </w:tcPr>
          <w:p>
            <w:pPr>
              <w:jc w:val="center"/>
            </w:pPr>
            <w:r/>
            <w:r>
              <w:rPr>
                <w:rFonts w:ascii="Times New Roman" w:hAnsi="Times New Roman" w:eastAsia="宋体"/>
                <w:b w:val="0"/>
                <w:sz w:val="18"/>
              </w:rPr>
              <w:t>1108</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4</w:t>
            </w:r>
          </w:p>
        </w:tc>
        <w:tc>
          <w:tcPr>
            <w:tcW w:type="dxa" w:w="829"/>
            <w:vAlign w:val="center"/>
          </w:tcPr>
          <w:p>
            <w:pPr>
              <w:jc w:val="center"/>
            </w:pPr>
            <w:r/>
            <w:r>
              <w:rPr>
                <w:rFonts w:ascii="Times New Roman" w:hAnsi="Times New Roman" w:eastAsia="宋体"/>
                <w:b w:val="0"/>
                <w:sz w:val="18"/>
              </w:rPr>
              <w:t>44</w:t>
            </w:r>
          </w:p>
        </w:tc>
        <w:tc>
          <w:tcPr>
            <w:tcW w:type="dxa" w:w="829"/>
            <w:vAlign w:val="center"/>
          </w:tcPr>
          <w:p>
            <w:pPr>
              <w:jc w:val="center"/>
            </w:pPr>
            <w:r/>
            <w:r>
              <w:rPr>
                <w:rFonts w:ascii="Times New Roman" w:hAnsi="Times New Roman" w:eastAsia="宋体"/>
                <w:b w:val="0"/>
                <w:sz w:val="18"/>
              </w:rPr>
              <w:t>0.5000</w:t>
            </w:r>
          </w:p>
        </w:tc>
        <w:tc>
          <w:tcPr>
            <w:tcW w:type="dxa" w:w="829"/>
            <w:vAlign w:val="center"/>
          </w:tcPr>
          <w:p>
            <w:pPr>
              <w:jc w:val="center"/>
            </w:pPr>
            <w:r/>
            <w:r>
              <w:rPr>
                <w:rFonts w:ascii="Times New Roman" w:hAnsi="Times New Roman" w:eastAsia="宋体"/>
                <w:b w:val="0"/>
                <w:sz w:val="18"/>
              </w:rPr>
              <w:t>0.4500</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0.0000</w:t>
            </w:r>
          </w:p>
        </w:tc>
        <w:tc>
          <w:tcPr>
            <w:tcW w:type="dxa" w:w="829"/>
            <w:vAlign w:val="center"/>
          </w:tcPr>
          <w:p>
            <w:pPr>
              <w:jc w:val="center"/>
            </w:pPr>
            <w:r/>
            <w:r>
              <w:rPr>
                <w:rFonts w:ascii="Times New Roman" w:hAnsi="Times New Roman" w:eastAsia="宋体"/>
                <w:b w:val="0"/>
                <w:sz w:val="18"/>
              </w:rPr>
              <w:t>-</w:t>
            </w:r>
          </w:p>
        </w:tc>
      </w:tr>
      <w:tr>
        <w:tc>
          <w:tcPr>
            <w:tcW w:type="dxa" w:w="829"/>
            <w:vAlign w:val="center"/>
          </w:tcPr>
          <w:p>
            <w:pPr>
              <w:jc w:val="center"/>
            </w:pPr>
            <w:r/>
            <w:r>
              <w:rPr>
                <w:rFonts w:ascii="Times New Roman" w:hAnsi="Times New Roman" w:eastAsia="宋体"/>
                <w:b w:val="0"/>
                <w:sz w:val="18"/>
              </w:rPr>
              <w:t>1.1 关闭图统计晚期融合</w:t>
            </w:r>
          </w:p>
        </w:tc>
        <w:tc>
          <w:tcPr>
            <w:tcW w:type="dxa" w:w="829"/>
            <w:vAlign w:val="center"/>
          </w:tcPr>
          <w:p>
            <w:pPr>
              <w:jc w:val="center"/>
            </w:pPr>
            <w:r/>
            <w:r>
              <w:rPr>
                <w:rFonts w:ascii="Times New Roman" w:hAnsi="Times New Roman" w:eastAsia="宋体"/>
                <w:b w:val="0"/>
                <w:sz w:val="18"/>
              </w:rPr>
              <w:t>1108</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4</w:t>
            </w:r>
          </w:p>
        </w:tc>
        <w:tc>
          <w:tcPr>
            <w:tcW w:type="dxa" w:w="829"/>
            <w:vAlign w:val="center"/>
          </w:tcPr>
          <w:p>
            <w:pPr>
              <w:jc w:val="center"/>
            </w:pPr>
            <w:r/>
            <w:r>
              <w:rPr>
                <w:rFonts w:ascii="Times New Roman" w:hAnsi="Times New Roman" w:eastAsia="宋体"/>
                <w:b w:val="0"/>
                <w:sz w:val="18"/>
              </w:rPr>
              <w:t>44</w:t>
            </w:r>
          </w:p>
        </w:tc>
        <w:tc>
          <w:tcPr>
            <w:tcW w:type="dxa" w:w="829"/>
            <w:vAlign w:val="center"/>
          </w:tcPr>
          <w:p>
            <w:pPr>
              <w:jc w:val="center"/>
            </w:pPr>
            <w:r/>
            <w:r>
              <w:rPr>
                <w:rFonts w:ascii="Times New Roman" w:hAnsi="Times New Roman" w:eastAsia="宋体"/>
                <w:b w:val="0"/>
                <w:sz w:val="18"/>
              </w:rPr>
              <w:t>0.5000</w:t>
            </w:r>
          </w:p>
        </w:tc>
        <w:tc>
          <w:tcPr>
            <w:tcW w:type="dxa" w:w="829"/>
            <w:vAlign w:val="center"/>
          </w:tcPr>
          <w:p>
            <w:pPr>
              <w:jc w:val="center"/>
            </w:pPr>
            <w:r/>
            <w:r>
              <w:rPr>
                <w:rFonts w:ascii="Times New Roman" w:hAnsi="Times New Roman" w:eastAsia="宋体"/>
                <w:b w:val="0"/>
                <w:sz w:val="18"/>
              </w:rPr>
              <w:t>0.4500</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0.0000</w:t>
            </w:r>
          </w:p>
        </w:tc>
        <w:tc>
          <w:tcPr>
            <w:tcW w:type="dxa" w:w="829"/>
            <w:vAlign w:val="center"/>
          </w:tcPr>
          <w:p>
            <w:pPr>
              <w:jc w:val="center"/>
            </w:pPr>
            <w:r/>
            <w:r>
              <w:rPr>
                <w:rFonts w:ascii="Times New Roman" w:hAnsi="Times New Roman" w:eastAsia="宋体"/>
                <w:b w:val="0"/>
                <w:sz w:val="18"/>
              </w:rPr>
              <w:t>后半段复用 baseline</w:t>
            </w:r>
          </w:p>
        </w:tc>
      </w:tr>
      <w:tr>
        <w:tc>
          <w:tcPr>
            <w:tcW w:type="dxa" w:w="829"/>
            <w:vAlign w:val="center"/>
          </w:tcPr>
          <w:p>
            <w:pPr>
              <w:jc w:val="center"/>
            </w:pPr>
            <w:r/>
            <w:r>
              <w:rPr>
                <w:rFonts w:ascii="Times New Roman" w:hAnsi="Times New Roman" w:eastAsia="宋体"/>
                <w:b w:val="0"/>
                <w:sz w:val="18"/>
              </w:rPr>
              <w:t>1.2 早期拼接（序列+统计直接拼接）</w:t>
            </w:r>
          </w:p>
        </w:tc>
        <w:tc>
          <w:tcPr>
            <w:tcW w:type="dxa" w:w="829"/>
            <w:vAlign w:val="center"/>
          </w:tcPr>
          <w:p>
            <w:pPr>
              <w:jc w:val="center"/>
            </w:pPr>
            <w:r/>
            <w:r>
              <w:rPr>
                <w:rFonts w:ascii="Times New Roman" w:hAnsi="Times New Roman" w:eastAsia="宋体"/>
                <w:b w:val="0"/>
                <w:sz w:val="18"/>
              </w:rPr>
              <w:t>1108</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4</w:t>
            </w:r>
          </w:p>
        </w:tc>
        <w:tc>
          <w:tcPr>
            <w:tcW w:type="dxa" w:w="829"/>
            <w:vAlign w:val="center"/>
          </w:tcPr>
          <w:p>
            <w:pPr>
              <w:jc w:val="center"/>
            </w:pPr>
            <w:r/>
            <w:r>
              <w:rPr>
                <w:rFonts w:ascii="Times New Roman" w:hAnsi="Times New Roman" w:eastAsia="宋体"/>
                <w:b w:val="0"/>
                <w:sz w:val="18"/>
              </w:rPr>
              <w:t>44</w:t>
            </w:r>
          </w:p>
        </w:tc>
        <w:tc>
          <w:tcPr>
            <w:tcW w:type="dxa" w:w="829"/>
            <w:vAlign w:val="center"/>
          </w:tcPr>
          <w:p>
            <w:pPr>
              <w:jc w:val="center"/>
            </w:pPr>
            <w:r/>
            <w:r>
              <w:rPr>
                <w:rFonts w:ascii="Times New Roman" w:hAnsi="Times New Roman" w:eastAsia="宋体"/>
                <w:b w:val="0"/>
                <w:sz w:val="18"/>
              </w:rPr>
              <w:t>0.5000</w:t>
            </w:r>
          </w:p>
        </w:tc>
        <w:tc>
          <w:tcPr>
            <w:tcW w:type="dxa" w:w="829"/>
            <w:vAlign w:val="center"/>
          </w:tcPr>
          <w:p>
            <w:pPr>
              <w:jc w:val="center"/>
            </w:pPr>
            <w:r/>
            <w:r>
              <w:rPr>
                <w:rFonts w:ascii="Times New Roman" w:hAnsi="Times New Roman" w:eastAsia="宋体"/>
                <w:b w:val="0"/>
                <w:sz w:val="18"/>
              </w:rPr>
              <w:t>0.4500</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0.0000</w:t>
            </w:r>
          </w:p>
        </w:tc>
        <w:tc>
          <w:tcPr>
            <w:tcW w:type="dxa" w:w="829"/>
            <w:vAlign w:val="center"/>
          </w:tcPr>
          <w:p>
            <w:pPr>
              <w:jc w:val="center"/>
            </w:pPr>
            <w:r/>
            <w:r>
              <w:rPr>
                <w:rFonts w:ascii="Times New Roman" w:hAnsi="Times New Roman" w:eastAsia="宋体"/>
                <w:b w:val="0"/>
                <w:sz w:val="18"/>
              </w:rPr>
              <w:t>后半段复用 baseline</w:t>
            </w:r>
          </w:p>
        </w:tc>
      </w:tr>
      <w:tr>
        <w:tc>
          <w:tcPr>
            <w:tcW w:type="dxa" w:w="829"/>
            <w:vAlign w:val="center"/>
          </w:tcPr>
          <w:p>
            <w:pPr>
              <w:jc w:val="center"/>
            </w:pPr>
            <w:r/>
            <w:r>
              <w:rPr>
                <w:rFonts w:ascii="Times New Roman" w:hAnsi="Times New Roman" w:eastAsia="宋体"/>
                <w:b w:val="0"/>
                <w:sz w:val="18"/>
              </w:rPr>
              <w:t>1.2 仅序列表示</w:t>
            </w:r>
          </w:p>
        </w:tc>
        <w:tc>
          <w:tcPr>
            <w:tcW w:type="dxa" w:w="829"/>
            <w:vAlign w:val="center"/>
          </w:tcPr>
          <w:p>
            <w:pPr>
              <w:jc w:val="center"/>
            </w:pPr>
            <w:r/>
            <w:r>
              <w:rPr>
                <w:rFonts w:ascii="Times New Roman" w:hAnsi="Times New Roman" w:eastAsia="宋体"/>
                <w:b w:val="0"/>
                <w:sz w:val="18"/>
              </w:rPr>
              <w:t>1108</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4</w:t>
            </w:r>
          </w:p>
        </w:tc>
        <w:tc>
          <w:tcPr>
            <w:tcW w:type="dxa" w:w="829"/>
            <w:vAlign w:val="center"/>
          </w:tcPr>
          <w:p>
            <w:pPr>
              <w:jc w:val="center"/>
            </w:pPr>
            <w:r/>
            <w:r>
              <w:rPr>
                <w:rFonts w:ascii="Times New Roman" w:hAnsi="Times New Roman" w:eastAsia="宋体"/>
                <w:b w:val="0"/>
                <w:sz w:val="18"/>
              </w:rPr>
              <w:t>44</w:t>
            </w:r>
          </w:p>
        </w:tc>
        <w:tc>
          <w:tcPr>
            <w:tcW w:type="dxa" w:w="829"/>
            <w:vAlign w:val="center"/>
          </w:tcPr>
          <w:p>
            <w:pPr>
              <w:jc w:val="center"/>
            </w:pPr>
            <w:r/>
            <w:r>
              <w:rPr>
                <w:rFonts w:ascii="Times New Roman" w:hAnsi="Times New Roman" w:eastAsia="宋体"/>
                <w:b w:val="0"/>
                <w:sz w:val="18"/>
              </w:rPr>
              <w:t>0.5000</w:t>
            </w:r>
          </w:p>
        </w:tc>
        <w:tc>
          <w:tcPr>
            <w:tcW w:type="dxa" w:w="829"/>
            <w:vAlign w:val="center"/>
          </w:tcPr>
          <w:p>
            <w:pPr>
              <w:jc w:val="center"/>
            </w:pPr>
            <w:r/>
            <w:r>
              <w:rPr>
                <w:rFonts w:ascii="Times New Roman" w:hAnsi="Times New Roman" w:eastAsia="宋体"/>
                <w:b w:val="0"/>
                <w:sz w:val="18"/>
              </w:rPr>
              <w:t>0.4500</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0.0000</w:t>
            </w:r>
          </w:p>
        </w:tc>
        <w:tc>
          <w:tcPr>
            <w:tcW w:type="dxa" w:w="829"/>
            <w:vAlign w:val="center"/>
          </w:tcPr>
          <w:p>
            <w:pPr>
              <w:jc w:val="center"/>
            </w:pPr>
            <w:r/>
            <w:r>
              <w:rPr>
                <w:rFonts w:ascii="Times New Roman" w:hAnsi="Times New Roman" w:eastAsia="宋体"/>
                <w:b w:val="0"/>
                <w:sz w:val="18"/>
              </w:rPr>
              <w:t>后半段复用 baseline</w:t>
            </w:r>
          </w:p>
        </w:tc>
      </w:tr>
      <w:tr>
        <w:tc>
          <w:tcPr>
            <w:tcW w:type="dxa" w:w="829"/>
            <w:vAlign w:val="center"/>
          </w:tcPr>
          <w:p>
            <w:pPr>
              <w:jc w:val="center"/>
            </w:pPr>
            <w:r/>
            <w:r>
              <w:rPr>
                <w:rFonts w:ascii="Times New Roman" w:hAnsi="Times New Roman" w:eastAsia="宋体"/>
                <w:b w:val="0"/>
                <w:sz w:val="18"/>
              </w:rPr>
              <w:t>1.3 fanout&gt;2，include segmented</w:t>
            </w:r>
          </w:p>
        </w:tc>
        <w:tc>
          <w:tcPr>
            <w:tcW w:type="dxa" w:w="829"/>
            <w:vAlign w:val="center"/>
          </w:tcPr>
          <w:p>
            <w:pPr>
              <w:jc w:val="center"/>
            </w:pPr>
            <w:r/>
            <w:r>
              <w:rPr>
                <w:rFonts w:ascii="Times New Roman" w:hAnsi="Times New Roman" w:eastAsia="宋体"/>
                <w:b w:val="0"/>
                <w:sz w:val="18"/>
              </w:rPr>
              <w:t>1209</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4</w:t>
            </w:r>
          </w:p>
        </w:tc>
        <w:tc>
          <w:tcPr>
            <w:tcW w:type="dxa" w:w="829"/>
            <w:vAlign w:val="center"/>
          </w:tcPr>
          <w:p>
            <w:pPr>
              <w:jc w:val="center"/>
            </w:pPr>
            <w:r/>
            <w:r>
              <w:rPr>
                <w:rFonts w:ascii="Times New Roman" w:hAnsi="Times New Roman" w:eastAsia="宋体"/>
                <w:b w:val="0"/>
                <w:sz w:val="18"/>
              </w:rPr>
              <w:t>44</w:t>
            </w:r>
          </w:p>
        </w:tc>
        <w:tc>
          <w:tcPr>
            <w:tcW w:type="dxa" w:w="829"/>
            <w:vAlign w:val="center"/>
          </w:tcPr>
          <w:p>
            <w:pPr>
              <w:jc w:val="center"/>
            </w:pPr>
            <w:r/>
            <w:r>
              <w:rPr>
                <w:rFonts w:ascii="Times New Roman" w:hAnsi="Times New Roman" w:eastAsia="宋体"/>
                <w:b w:val="0"/>
                <w:sz w:val="18"/>
              </w:rPr>
              <w:t>0.5000</w:t>
            </w:r>
          </w:p>
        </w:tc>
        <w:tc>
          <w:tcPr>
            <w:tcW w:type="dxa" w:w="829"/>
            <w:vAlign w:val="center"/>
          </w:tcPr>
          <w:p>
            <w:pPr>
              <w:jc w:val="center"/>
            </w:pPr>
            <w:r/>
            <w:r>
              <w:rPr>
                <w:rFonts w:ascii="Times New Roman" w:hAnsi="Times New Roman" w:eastAsia="宋体"/>
                <w:b w:val="0"/>
                <w:sz w:val="18"/>
              </w:rPr>
              <w:t>0.4500</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0.0000</w:t>
            </w:r>
          </w:p>
        </w:tc>
        <w:tc>
          <w:tcPr>
            <w:tcW w:type="dxa" w:w="829"/>
            <w:vAlign w:val="center"/>
          </w:tcPr>
          <w:p>
            <w:pPr>
              <w:jc w:val="center"/>
            </w:pPr>
            <w:r/>
            <w:r>
              <w:rPr>
                <w:rFonts w:ascii="Times New Roman" w:hAnsi="Times New Roman" w:eastAsia="宋体"/>
                <w:b w:val="0"/>
                <w:sz w:val="18"/>
              </w:rPr>
              <w:t>-</w:t>
            </w:r>
          </w:p>
        </w:tc>
      </w:tr>
      <w:tr>
        <w:tc>
          <w:tcPr>
            <w:tcW w:type="dxa" w:w="829"/>
            <w:vAlign w:val="center"/>
          </w:tcPr>
          <w:p>
            <w:pPr>
              <w:jc w:val="center"/>
            </w:pPr>
            <w:r/>
            <w:r>
              <w:rPr>
                <w:rFonts w:ascii="Times New Roman" w:hAnsi="Times New Roman" w:eastAsia="宋体"/>
                <w:b w:val="0"/>
                <w:sz w:val="18"/>
              </w:rPr>
              <w:t>1.3 fanout&gt;3，exclude segmented</w:t>
            </w:r>
          </w:p>
        </w:tc>
        <w:tc>
          <w:tcPr>
            <w:tcW w:type="dxa" w:w="829"/>
            <w:vAlign w:val="center"/>
          </w:tcPr>
          <w:p>
            <w:pPr>
              <w:jc w:val="center"/>
            </w:pPr>
            <w:r/>
            <w:r>
              <w:rPr>
                <w:rFonts w:ascii="Times New Roman" w:hAnsi="Times New Roman" w:eastAsia="宋体"/>
                <w:b w:val="0"/>
                <w:sz w:val="18"/>
              </w:rPr>
              <w:t>855</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3</w:t>
            </w:r>
          </w:p>
        </w:tc>
        <w:tc>
          <w:tcPr>
            <w:tcW w:type="dxa" w:w="829"/>
            <w:vAlign w:val="center"/>
          </w:tcPr>
          <w:p>
            <w:pPr>
              <w:jc w:val="center"/>
            </w:pPr>
            <w:r/>
            <w:r>
              <w:rPr>
                <w:rFonts w:ascii="Times New Roman" w:hAnsi="Times New Roman" w:eastAsia="宋体"/>
                <w:b w:val="0"/>
                <w:sz w:val="18"/>
              </w:rPr>
              <w:t>41</w:t>
            </w:r>
          </w:p>
        </w:tc>
        <w:tc>
          <w:tcPr>
            <w:tcW w:type="dxa" w:w="829"/>
            <w:vAlign w:val="center"/>
          </w:tcPr>
          <w:p>
            <w:pPr>
              <w:jc w:val="center"/>
            </w:pPr>
            <w:r/>
            <w:r>
              <w:rPr>
                <w:rFonts w:ascii="Times New Roman" w:hAnsi="Times New Roman" w:eastAsia="宋体"/>
                <w:b w:val="0"/>
                <w:sz w:val="18"/>
              </w:rPr>
              <w:t>0.5000</w:t>
            </w:r>
          </w:p>
        </w:tc>
        <w:tc>
          <w:tcPr>
            <w:tcW w:type="dxa" w:w="829"/>
            <w:vAlign w:val="center"/>
          </w:tcPr>
          <w:p>
            <w:pPr>
              <w:jc w:val="center"/>
            </w:pPr>
            <w:r/>
            <w:r>
              <w:rPr>
                <w:rFonts w:ascii="Times New Roman" w:hAnsi="Times New Roman" w:eastAsia="宋体"/>
                <w:b w:val="0"/>
                <w:sz w:val="18"/>
              </w:rPr>
              <w:t>0.4000</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0.0000</w:t>
            </w:r>
          </w:p>
        </w:tc>
        <w:tc>
          <w:tcPr>
            <w:tcW w:type="dxa" w:w="829"/>
            <w:vAlign w:val="center"/>
          </w:tcPr>
          <w:p>
            <w:pPr>
              <w:jc w:val="center"/>
            </w:pPr>
            <w:r/>
            <w:r>
              <w:rPr>
                <w:rFonts w:ascii="Times New Roman" w:hAnsi="Times New Roman" w:eastAsia="宋体"/>
                <w:b w:val="0"/>
                <w:sz w:val="18"/>
              </w:rPr>
              <w:t>-</w:t>
            </w:r>
          </w:p>
        </w:tc>
      </w:tr>
      <w:tr>
        <w:tc>
          <w:tcPr>
            <w:tcW w:type="dxa" w:w="829"/>
            <w:vAlign w:val="center"/>
          </w:tcPr>
          <w:p>
            <w:pPr>
              <w:jc w:val="center"/>
            </w:pPr>
            <w:r/>
            <w:r>
              <w:rPr>
                <w:rFonts w:ascii="Times New Roman" w:hAnsi="Times New Roman" w:eastAsia="宋体"/>
                <w:b w:val="0"/>
                <w:sz w:val="18"/>
              </w:rPr>
              <w:t>1.3 fanout&gt;3，include segmented</w:t>
            </w:r>
          </w:p>
        </w:tc>
        <w:tc>
          <w:tcPr>
            <w:tcW w:type="dxa" w:w="829"/>
            <w:vAlign w:val="center"/>
          </w:tcPr>
          <w:p>
            <w:pPr>
              <w:jc w:val="center"/>
            </w:pPr>
            <w:r/>
            <w:r>
              <w:rPr>
                <w:rFonts w:ascii="Times New Roman" w:hAnsi="Times New Roman" w:eastAsia="宋体"/>
                <w:b w:val="0"/>
                <w:sz w:val="18"/>
              </w:rPr>
              <w:t>949</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3</w:t>
            </w:r>
          </w:p>
        </w:tc>
        <w:tc>
          <w:tcPr>
            <w:tcW w:type="dxa" w:w="829"/>
            <w:vAlign w:val="center"/>
          </w:tcPr>
          <w:p>
            <w:pPr>
              <w:jc w:val="center"/>
            </w:pPr>
            <w:r/>
            <w:r>
              <w:rPr>
                <w:rFonts w:ascii="Times New Roman" w:hAnsi="Times New Roman" w:eastAsia="宋体"/>
                <w:b w:val="0"/>
                <w:sz w:val="18"/>
              </w:rPr>
              <w:t>41</w:t>
            </w:r>
          </w:p>
        </w:tc>
        <w:tc>
          <w:tcPr>
            <w:tcW w:type="dxa" w:w="829"/>
            <w:vAlign w:val="center"/>
          </w:tcPr>
          <w:p>
            <w:pPr>
              <w:jc w:val="center"/>
            </w:pPr>
            <w:r/>
            <w:r>
              <w:rPr>
                <w:rFonts w:ascii="Times New Roman" w:hAnsi="Times New Roman" w:eastAsia="宋体"/>
                <w:b w:val="0"/>
                <w:sz w:val="18"/>
              </w:rPr>
              <w:t>0.5000</w:t>
            </w:r>
          </w:p>
        </w:tc>
        <w:tc>
          <w:tcPr>
            <w:tcW w:type="dxa" w:w="829"/>
            <w:vAlign w:val="center"/>
          </w:tcPr>
          <w:p>
            <w:pPr>
              <w:jc w:val="center"/>
            </w:pPr>
            <w:r/>
            <w:r>
              <w:rPr>
                <w:rFonts w:ascii="Times New Roman" w:hAnsi="Times New Roman" w:eastAsia="宋体"/>
                <w:b w:val="0"/>
                <w:sz w:val="18"/>
              </w:rPr>
              <w:t>0.4500</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0.0000</w:t>
            </w:r>
          </w:p>
        </w:tc>
        <w:tc>
          <w:tcPr>
            <w:tcW w:type="dxa" w:w="829"/>
            <w:vAlign w:val="center"/>
          </w:tcPr>
          <w:p>
            <w:pPr>
              <w:jc w:val="center"/>
            </w:pPr>
            <w:r/>
            <w:r>
              <w:rPr>
                <w:rFonts w:ascii="Times New Roman" w:hAnsi="Times New Roman" w:eastAsia="宋体"/>
                <w:b w:val="0"/>
                <w:sz w:val="18"/>
              </w:rPr>
              <w:t>-</w:t>
            </w:r>
          </w:p>
        </w:tc>
      </w:tr>
      <w:tr>
        <w:tc>
          <w:tcPr>
            <w:tcW w:type="dxa" w:w="829"/>
            <w:vAlign w:val="center"/>
          </w:tcPr>
          <w:p>
            <w:pPr>
              <w:jc w:val="center"/>
            </w:pPr>
            <w:r/>
            <w:r>
              <w:rPr>
                <w:rFonts w:ascii="Times New Roman" w:hAnsi="Times New Roman" w:eastAsia="宋体"/>
                <w:b w:val="0"/>
                <w:sz w:val="18"/>
              </w:rPr>
              <w:t>1.3 connected 切图</w:t>
            </w:r>
          </w:p>
        </w:tc>
        <w:tc>
          <w:tcPr>
            <w:tcW w:type="dxa" w:w="829"/>
            <w:vAlign w:val="center"/>
          </w:tcPr>
          <w:p>
            <w:pPr>
              <w:jc w:val="center"/>
            </w:pPr>
            <w:r/>
            <w:r>
              <w:rPr>
                <w:rFonts w:ascii="Times New Roman" w:hAnsi="Times New Roman" w:eastAsia="宋体"/>
                <w:b w:val="0"/>
                <w:sz w:val="18"/>
              </w:rPr>
              <w:t>14</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1</w:t>
            </w:r>
          </w:p>
        </w:tc>
        <w:tc>
          <w:tcPr>
            <w:tcW w:type="dxa" w:w="829"/>
            <w:vAlign w:val="center"/>
          </w:tcPr>
          <w:p>
            <w:pPr>
              <w:jc w:val="center"/>
            </w:pPr>
            <w:r/>
            <w:r>
              <w:rPr>
                <w:rFonts w:ascii="Times New Roman" w:hAnsi="Times New Roman" w:eastAsia="宋体"/>
                <w:b w:val="0"/>
                <w:sz w:val="18"/>
              </w:rPr>
              <w:t>20</w:t>
            </w:r>
          </w:p>
        </w:tc>
        <w:tc>
          <w:tcPr>
            <w:tcW w:type="dxa" w:w="829"/>
            <w:vAlign w:val="center"/>
          </w:tcPr>
          <w:p>
            <w:pPr>
              <w:jc w:val="center"/>
            </w:pPr>
            <w:r/>
            <w:r>
              <w:rPr>
                <w:rFonts w:ascii="Times New Roman" w:hAnsi="Times New Roman" w:eastAsia="宋体"/>
                <w:b w:val="0"/>
                <w:sz w:val="18"/>
              </w:rPr>
              <w:t>0.0000</w:t>
            </w:r>
          </w:p>
        </w:tc>
        <w:tc>
          <w:tcPr>
            <w:tcW w:type="dxa" w:w="829"/>
            <w:vAlign w:val="center"/>
          </w:tcPr>
          <w:p>
            <w:pPr>
              <w:jc w:val="center"/>
            </w:pPr>
            <w:r/>
            <w:r>
              <w:rPr>
                <w:rFonts w:ascii="Times New Roman" w:hAnsi="Times New Roman" w:eastAsia="宋体"/>
                <w:b w:val="0"/>
                <w:sz w:val="18"/>
              </w:rPr>
              <w:t>0.0000</w:t>
            </w:r>
          </w:p>
        </w:tc>
        <w:tc>
          <w:tcPr>
            <w:tcW w:type="dxa" w:w="829"/>
            <w:vAlign w:val="center"/>
          </w:tcPr>
          <w:p>
            <w:pPr>
              <w:jc w:val="center"/>
            </w:pPr>
            <w:r/>
            <w:r>
              <w:rPr>
                <w:rFonts w:ascii="Times New Roman" w:hAnsi="Times New Roman" w:eastAsia="宋体"/>
                <w:b w:val="0"/>
                <w:sz w:val="18"/>
              </w:rPr>
              <w:t>0.0000</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connected 粒度极粗</w:t>
            </w:r>
          </w:p>
        </w:tc>
      </w:tr>
    </w:tbl>
    <w:p/>
    <w:p>
      <w:pPr>
        <w:jc w:val="center"/>
      </w:pPr>
      <w:r>
        <w:rPr>
          <w:rFonts w:ascii="Times New Roman" w:hAnsi="Times New Roman" w:eastAsia="黑体"/>
          <w:b w:val="0"/>
          <w:sz w:val="20"/>
        </w:rPr>
        <w:t>表 3  CADETS 消融实验结果</w:t>
      </w:r>
    </w:p>
    <w:tbl>
      <w:tblPr>
        <w:tblStyle w:val="TableGrid"/>
        <w:tblW w:type="auto" w:w="0"/>
        <w:jc w:val="center"/>
        <w:tblLook w:firstColumn="1" w:firstRow="1" w:lastColumn="0" w:lastRow="0" w:noHBand="0" w:noVBand="1" w:val="04A0"/>
      </w:tblPr>
      <w:tblGrid>
        <w:gridCol w:w="829"/>
        <w:gridCol w:w="829"/>
        <w:gridCol w:w="829"/>
        <w:gridCol w:w="829"/>
        <w:gridCol w:w="829"/>
        <w:gridCol w:w="829"/>
        <w:gridCol w:w="829"/>
        <w:gridCol w:w="829"/>
        <w:gridCol w:w="829"/>
        <w:gridCol w:w="829"/>
        <w:gridCol w:w="829"/>
      </w:tblGrid>
      <w:tr>
        <w:tc>
          <w:tcPr>
            <w:tcW w:type="dxa" w:w="829"/>
            <w:vAlign w:val="center"/>
          </w:tcPr>
          <w:p>
            <w:pPr>
              <w:jc w:val="center"/>
            </w:pPr>
            <w:r/>
            <w:r>
              <w:rPr>
                <w:rFonts w:ascii="Times New Roman" w:hAnsi="Times New Roman" w:eastAsia="宋体"/>
                <w:b/>
                <w:sz w:val="20"/>
              </w:rPr>
              <w:t>实验</w:t>
            </w:r>
          </w:p>
        </w:tc>
        <w:tc>
          <w:tcPr>
            <w:tcW w:type="dxa" w:w="829"/>
            <w:vAlign w:val="center"/>
          </w:tcPr>
          <w:p>
            <w:pPr>
              <w:jc w:val="center"/>
            </w:pPr>
            <w:r/>
            <w:r>
              <w:rPr>
                <w:rFonts w:ascii="Times New Roman" w:hAnsi="Times New Roman" w:eastAsia="宋体"/>
                <w:b/>
                <w:sz w:val="20"/>
              </w:rPr>
              <w:t>任务图数</w:t>
            </w:r>
          </w:p>
        </w:tc>
        <w:tc>
          <w:tcPr>
            <w:tcW w:type="dxa" w:w="829"/>
            <w:vAlign w:val="center"/>
          </w:tcPr>
          <w:p>
            <w:pPr>
              <w:jc w:val="center"/>
            </w:pPr>
            <w:r/>
            <w:r>
              <w:rPr>
                <w:rFonts w:ascii="Times New Roman" w:hAnsi="Times New Roman" w:eastAsia="宋体"/>
                <w:b/>
                <w:sz w:val="20"/>
              </w:rPr>
              <w:t>模块2 F1</w:t>
            </w:r>
          </w:p>
        </w:tc>
        <w:tc>
          <w:tcPr>
            <w:tcW w:type="dxa" w:w="829"/>
            <w:vAlign w:val="center"/>
          </w:tcPr>
          <w:p>
            <w:pPr>
              <w:jc w:val="center"/>
            </w:pPr>
            <w:r/>
            <w:r>
              <w:rPr>
                <w:rFonts w:ascii="Times New Roman" w:hAnsi="Times New Roman" w:eastAsia="宋体"/>
                <w:b/>
                <w:sz w:val="20"/>
              </w:rPr>
              <w:t>模块2 AUC</w:t>
            </w:r>
          </w:p>
        </w:tc>
        <w:tc>
          <w:tcPr>
            <w:tcW w:type="dxa" w:w="829"/>
            <w:vAlign w:val="center"/>
          </w:tcPr>
          <w:p>
            <w:pPr>
              <w:jc w:val="center"/>
            </w:pPr>
            <w:r/>
            <w:r>
              <w:rPr>
                <w:rFonts w:ascii="Times New Roman" w:hAnsi="Times New Roman" w:eastAsia="宋体"/>
                <w:b/>
                <w:sz w:val="20"/>
              </w:rPr>
              <w:t>预测正类任务数</w:t>
            </w:r>
          </w:p>
        </w:tc>
        <w:tc>
          <w:tcPr>
            <w:tcW w:type="dxa" w:w="829"/>
            <w:vAlign w:val="center"/>
          </w:tcPr>
          <w:p>
            <w:pPr>
              <w:jc w:val="center"/>
            </w:pPr>
            <w:r/>
            <w:r>
              <w:rPr>
                <w:rFonts w:ascii="Times New Roman" w:hAnsi="Times New Roman" w:eastAsia="宋体"/>
                <w:b/>
                <w:sz w:val="20"/>
              </w:rPr>
              <w:t>候选链条数</w:t>
            </w:r>
          </w:p>
        </w:tc>
        <w:tc>
          <w:tcPr>
            <w:tcW w:type="dxa" w:w="829"/>
            <w:vAlign w:val="center"/>
          </w:tcPr>
          <w:p>
            <w:pPr>
              <w:jc w:val="center"/>
            </w:pPr>
            <w:r/>
            <w:r>
              <w:rPr>
                <w:rFonts w:ascii="Times New Roman" w:hAnsi="Times New Roman" w:eastAsia="宋体"/>
                <w:b/>
                <w:sz w:val="20"/>
              </w:rPr>
              <w:t>窗口召回</w:t>
            </w:r>
          </w:p>
        </w:tc>
        <w:tc>
          <w:tcPr>
            <w:tcW w:type="dxa" w:w="829"/>
            <w:vAlign w:val="center"/>
          </w:tcPr>
          <w:p>
            <w:pPr>
              <w:jc w:val="center"/>
            </w:pPr>
            <w:r/>
            <w:r>
              <w:rPr>
                <w:rFonts w:ascii="Times New Roman" w:hAnsi="Times New Roman" w:eastAsia="宋体"/>
                <w:b/>
                <w:sz w:val="20"/>
              </w:rPr>
              <w:t>战术召回</w:t>
            </w:r>
          </w:p>
        </w:tc>
        <w:tc>
          <w:tcPr>
            <w:tcW w:type="dxa" w:w="829"/>
            <w:vAlign w:val="center"/>
          </w:tcPr>
          <w:p>
            <w:pPr>
              <w:jc w:val="center"/>
            </w:pPr>
            <w:r/>
            <w:r>
              <w:rPr>
                <w:rFonts w:ascii="Times New Roman" w:hAnsi="Times New Roman" w:eastAsia="宋体"/>
                <w:b/>
                <w:sz w:val="20"/>
              </w:rPr>
              <w:t>战术精度</w:t>
            </w:r>
          </w:p>
        </w:tc>
        <w:tc>
          <w:tcPr>
            <w:tcW w:type="dxa" w:w="829"/>
            <w:vAlign w:val="center"/>
          </w:tcPr>
          <w:p>
            <w:pPr>
              <w:jc w:val="center"/>
            </w:pPr>
            <w:r/>
            <w:r>
              <w:rPr>
                <w:rFonts w:ascii="Times New Roman" w:hAnsi="Times New Roman" w:eastAsia="宋体"/>
                <w:b/>
                <w:sz w:val="20"/>
              </w:rPr>
              <w:t>窗外高风险率</w:t>
            </w:r>
          </w:p>
        </w:tc>
        <w:tc>
          <w:tcPr>
            <w:tcW w:type="dxa" w:w="829"/>
            <w:vAlign w:val="center"/>
          </w:tcPr>
          <w:p>
            <w:pPr>
              <w:jc w:val="center"/>
            </w:pPr>
            <w:r/>
            <w:r>
              <w:rPr>
                <w:rFonts w:ascii="Times New Roman" w:hAnsi="Times New Roman" w:eastAsia="宋体"/>
                <w:b/>
                <w:sz w:val="20"/>
              </w:rPr>
              <w:t>备注</w:t>
            </w:r>
          </w:p>
        </w:tc>
      </w:tr>
      <w:tr>
        <w:tc>
          <w:tcPr>
            <w:tcW w:type="dxa" w:w="829"/>
            <w:vAlign w:val="center"/>
          </w:tcPr>
          <w:p>
            <w:pPr>
              <w:jc w:val="center"/>
            </w:pPr>
            <w:r/>
            <w:r>
              <w:rPr>
                <w:rFonts w:ascii="Times New Roman" w:hAnsi="Times New Roman" w:eastAsia="宋体"/>
                <w:b w:val="0"/>
                <w:sz w:val="18"/>
              </w:rPr>
              <w:t>Baseline（晚期融合，fanout&gt;2，exclude）</w:t>
            </w:r>
          </w:p>
        </w:tc>
        <w:tc>
          <w:tcPr>
            <w:tcW w:type="dxa" w:w="829"/>
            <w:vAlign w:val="center"/>
          </w:tcPr>
          <w:p>
            <w:pPr>
              <w:jc w:val="center"/>
            </w:pPr>
            <w:r/>
            <w:r>
              <w:rPr>
                <w:rFonts w:ascii="Times New Roman" w:hAnsi="Times New Roman" w:eastAsia="宋体"/>
                <w:b w:val="0"/>
                <w:sz w:val="18"/>
              </w:rPr>
              <w:t>5247</w:t>
            </w:r>
          </w:p>
        </w:tc>
        <w:tc>
          <w:tcPr>
            <w:tcW w:type="dxa" w:w="829"/>
            <w:vAlign w:val="center"/>
          </w:tcPr>
          <w:p>
            <w:pPr>
              <w:jc w:val="center"/>
            </w:pPr>
            <w:r/>
            <w:r>
              <w:rPr>
                <w:rFonts w:ascii="Times New Roman" w:hAnsi="Times New Roman" w:eastAsia="宋体"/>
                <w:b w:val="0"/>
                <w:sz w:val="18"/>
              </w:rPr>
              <w:t>0.8745</w:t>
            </w:r>
          </w:p>
        </w:tc>
        <w:tc>
          <w:tcPr>
            <w:tcW w:type="dxa" w:w="829"/>
            <w:vAlign w:val="center"/>
          </w:tcPr>
          <w:p>
            <w:pPr>
              <w:jc w:val="center"/>
            </w:pPr>
            <w:r/>
            <w:r>
              <w:rPr>
                <w:rFonts w:ascii="Times New Roman" w:hAnsi="Times New Roman" w:eastAsia="宋体"/>
                <w:b w:val="0"/>
                <w:sz w:val="18"/>
              </w:rPr>
              <w:t>0.9997</w:t>
            </w:r>
          </w:p>
        </w:tc>
        <w:tc>
          <w:tcPr>
            <w:tcW w:type="dxa" w:w="829"/>
            <w:vAlign w:val="center"/>
          </w:tcPr>
          <w:p>
            <w:pPr>
              <w:jc w:val="center"/>
            </w:pPr>
            <w:r/>
            <w:r>
              <w:rPr>
                <w:rFonts w:ascii="Times New Roman" w:hAnsi="Times New Roman" w:eastAsia="宋体"/>
                <w:b w:val="0"/>
                <w:sz w:val="18"/>
              </w:rPr>
              <w:t>10</w:t>
            </w:r>
          </w:p>
        </w:tc>
        <w:tc>
          <w:tcPr>
            <w:tcW w:type="dxa" w:w="829"/>
            <w:vAlign w:val="center"/>
          </w:tcPr>
          <w:p>
            <w:pPr>
              <w:jc w:val="center"/>
            </w:pPr>
            <w:r/>
            <w:r>
              <w:rPr>
                <w:rFonts w:ascii="Times New Roman" w:hAnsi="Times New Roman" w:eastAsia="宋体"/>
                <w:b w:val="0"/>
                <w:sz w:val="18"/>
              </w:rPr>
              <w:t>120</w:t>
            </w:r>
          </w:p>
        </w:tc>
        <w:tc>
          <w:tcPr>
            <w:tcW w:type="dxa" w:w="829"/>
            <w:vAlign w:val="center"/>
          </w:tcPr>
          <w:p>
            <w:pPr>
              <w:jc w:val="center"/>
            </w:pPr>
            <w:r/>
            <w:r>
              <w:rPr>
                <w:rFonts w:ascii="Times New Roman" w:hAnsi="Times New Roman" w:eastAsia="宋体"/>
                <w:b w:val="0"/>
                <w:sz w:val="18"/>
              </w:rPr>
              <w:t>0.5000</w:t>
            </w:r>
          </w:p>
        </w:tc>
        <w:tc>
          <w:tcPr>
            <w:tcW w:type="dxa" w:w="829"/>
            <w:vAlign w:val="center"/>
          </w:tcPr>
          <w:p>
            <w:pPr>
              <w:jc w:val="center"/>
            </w:pPr>
            <w:r/>
            <w:r>
              <w:rPr>
                <w:rFonts w:ascii="Times New Roman" w:hAnsi="Times New Roman" w:eastAsia="宋体"/>
                <w:b w:val="0"/>
                <w:sz w:val="18"/>
              </w:rPr>
              <w:t>0.4583</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0.9583</w:t>
            </w:r>
          </w:p>
        </w:tc>
        <w:tc>
          <w:tcPr>
            <w:tcW w:type="dxa" w:w="829"/>
            <w:vAlign w:val="center"/>
          </w:tcPr>
          <w:p>
            <w:pPr>
              <w:jc w:val="center"/>
            </w:pPr>
            <w:r/>
            <w:r>
              <w:rPr>
                <w:rFonts w:ascii="Times New Roman" w:hAnsi="Times New Roman" w:eastAsia="宋体"/>
                <w:b w:val="0"/>
                <w:sz w:val="18"/>
              </w:rPr>
              <w:t>-</w:t>
            </w:r>
          </w:p>
        </w:tc>
      </w:tr>
      <w:tr>
        <w:tc>
          <w:tcPr>
            <w:tcW w:type="dxa" w:w="829"/>
            <w:vAlign w:val="center"/>
          </w:tcPr>
          <w:p>
            <w:pPr>
              <w:jc w:val="center"/>
            </w:pPr>
            <w:r/>
            <w:r>
              <w:rPr>
                <w:rFonts w:ascii="Times New Roman" w:hAnsi="Times New Roman" w:eastAsia="宋体"/>
                <w:b w:val="0"/>
                <w:sz w:val="18"/>
              </w:rPr>
              <w:t>1.1 关闭图统计晚期融合</w:t>
            </w:r>
          </w:p>
        </w:tc>
        <w:tc>
          <w:tcPr>
            <w:tcW w:type="dxa" w:w="829"/>
            <w:vAlign w:val="center"/>
          </w:tcPr>
          <w:p>
            <w:pPr>
              <w:jc w:val="center"/>
            </w:pPr>
            <w:r/>
            <w:r>
              <w:rPr>
                <w:rFonts w:ascii="Times New Roman" w:hAnsi="Times New Roman" w:eastAsia="宋体"/>
                <w:b w:val="0"/>
                <w:sz w:val="18"/>
              </w:rPr>
              <w:t>5247</w:t>
            </w:r>
          </w:p>
        </w:tc>
        <w:tc>
          <w:tcPr>
            <w:tcW w:type="dxa" w:w="829"/>
            <w:vAlign w:val="center"/>
          </w:tcPr>
          <w:p>
            <w:pPr>
              <w:jc w:val="center"/>
            </w:pPr>
            <w:r/>
            <w:r>
              <w:rPr>
                <w:rFonts w:ascii="Times New Roman" w:hAnsi="Times New Roman" w:eastAsia="宋体"/>
                <w:b w:val="0"/>
                <w:sz w:val="18"/>
              </w:rPr>
              <w:t>0.9283</w:t>
            </w:r>
          </w:p>
        </w:tc>
        <w:tc>
          <w:tcPr>
            <w:tcW w:type="dxa" w:w="829"/>
            <w:vAlign w:val="center"/>
          </w:tcPr>
          <w:p>
            <w:pPr>
              <w:jc w:val="center"/>
            </w:pPr>
            <w:r/>
            <w:r>
              <w:rPr>
                <w:rFonts w:ascii="Times New Roman" w:hAnsi="Times New Roman" w:eastAsia="宋体"/>
                <w:b w:val="0"/>
                <w:sz w:val="18"/>
              </w:rPr>
              <w:t>0.9997</w:t>
            </w:r>
          </w:p>
        </w:tc>
        <w:tc>
          <w:tcPr>
            <w:tcW w:type="dxa" w:w="829"/>
            <w:vAlign w:val="center"/>
          </w:tcPr>
          <w:p>
            <w:pPr>
              <w:jc w:val="center"/>
            </w:pPr>
            <w:r/>
            <w:r>
              <w:rPr>
                <w:rFonts w:ascii="Times New Roman" w:hAnsi="Times New Roman" w:eastAsia="宋体"/>
                <w:b w:val="0"/>
                <w:sz w:val="18"/>
              </w:rPr>
              <w:t>6</w:t>
            </w:r>
          </w:p>
        </w:tc>
        <w:tc>
          <w:tcPr>
            <w:tcW w:type="dxa" w:w="829"/>
            <w:vAlign w:val="center"/>
          </w:tcPr>
          <w:p>
            <w:pPr>
              <w:jc w:val="center"/>
            </w:pPr>
            <w:r/>
            <w:r>
              <w:rPr>
                <w:rFonts w:ascii="Times New Roman" w:hAnsi="Times New Roman" w:eastAsia="宋体"/>
                <w:b w:val="0"/>
                <w:sz w:val="18"/>
              </w:rPr>
              <w:t>60</w:t>
            </w:r>
          </w:p>
        </w:tc>
        <w:tc>
          <w:tcPr>
            <w:tcW w:type="dxa" w:w="829"/>
            <w:vAlign w:val="center"/>
          </w:tcPr>
          <w:p>
            <w:pPr>
              <w:jc w:val="center"/>
            </w:pPr>
            <w:r/>
            <w:r>
              <w:rPr>
                <w:rFonts w:ascii="Times New Roman" w:hAnsi="Times New Roman" w:eastAsia="宋体"/>
                <w:b w:val="0"/>
                <w:sz w:val="18"/>
              </w:rPr>
              <w:t>0.5000</w:t>
            </w:r>
          </w:p>
        </w:tc>
        <w:tc>
          <w:tcPr>
            <w:tcW w:type="dxa" w:w="829"/>
            <w:vAlign w:val="center"/>
          </w:tcPr>
          <w:p>
            <w:pPr>
              <w:jc w:val="center"/>
            </w:pPr>
            <w:r/>
            <w:r>
              <w:rPr>
                <w:rFonts w:ascii="Times New Roman" w:hAnsi="Times New Roman" w:eastAsia="宋体"/>
                <w:b w:val="0"/>
                <w:sz w:val="18"/>
              </w:rPr>
              <w:t>0.4167</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0.9167</w:t>
            </w:r>
          </w:p>
        </w:tc>
        <w:tc>
          <w:tcPr>
            <w:tcW w:type="dxa" w:w="829"/>
            <w:vAlign w:val="center"/>
          </w:tcPr>
          <w:p>
            <w:pPr>
              <w:jc w:val="center"/>
            </w:pPr>
            <w:r/>
            <w:r>
              <w:rPr>
                <w:rFonts w:ascii="Times New Roman" w:hAnsi="Times New Roman" w:eastAsia="宋体"/>
                <w:b w:val="0"/>
                <w:sz w:val="18"/>
              </w:rPr>
              <w:t>-</w:t>
            </w:r>
          </w:p>
        </w:tc>
      </w:tr>
      <w:tr>
        <w:tc>
          <w:tcPr>
            <w:tcW w:type="dxa" w:w="829"/>
            <w:vAlign w:val="center"/>
          </w:tcPr>
          <w:p>
            <w:pPr>
              <w:jc w:val="center"/>
            </w:pPr>
            <w:r/>
            <w:r>
              <w:rPr>
                <w:rFonts w:ascii="Times New Roman" w:hAnsi="Times New Roman" w:eastAsia="宋体"/>
                <w:b w:val="0"/>
                <w:sz w:val="18"/>
              </w:rPr>
              <w:t>1.2 早期拼接（序列+统计直接拼接）</w:t>
            </w:r>
          </w:p>
        </w:tc>
        <w:tc>
          <w:tcPr>
            <w:tcW w:type="dxa" w:w="829"/>
            <w:vAlign w:val="center"/>
          </w:tcPr>
          <w:p>
            <w:pPr>
              <w:jc w:val="center"/>
            </w:pPr>
            <w:r/>
            <w:r>
              <w:rPr>
                <w:rFonts w:ascii="Times New Roman" w:hAnsi="Times New Roman" w:eastAsia="宋体"/>
                <w:b w:val="0"/>
                <w:sz w:val="18"/>
              </w:rPr>
              <w:t>5247</w:t>
            </w:r>
          </w:p>
        </w:tc>
        <w:tc>
          <w:tcPr>
            <w:tcW w:type="dxa" w:w="829"/>
            <w:vAlign w:val="center"/>
          </w:tcPr>
          <w:p>
            <w:pPr>
              <w:jc w:val="center"/>
            </w:pPr>
            <w:r/>
            <w:r>
              <w:rPr>
                <w:rFonts w:ascii="Times New Roman" w:hAnsi="Times New Roman" w:eastAsia="宋体"/>
                <w:b w:val="0"/>
                <w:sz w:val="18"/>
              </w:rPr>
              <w:t>0.9283</w:t>
            </w:r>
          </w:p>
        </w:tc>
        <w:tc>
          <w:tcPr>
            <w:tcW w:type="dxa" w:w="829"/>
            <w:vAlign w:val="center"/>
          </w:tcPr>
          <w:p>
            <w:pPr>
              <w:jc w:val="center"/>
            </w:pPr>
            <w:r/>
            <w:r>
              <w:rPr>
                <w:rFonts w:ascii="Times New Roman" w:hAnsi="Times New Roman" w:eastAsia="宋体"/>
                <w:b w:val="0"/>
                <w:sz w:val="18"/>
              </w:rPr>
              <w:t>0.9997</w:t>
            </w:r>
          </w:p>
        </w:tc>
        <w:tc>
          <w:tcPr>
            <w:tcW w:type="dxa" w:w="829"/>
            <w:vAlign w:val="center"/>
          </w:tcPr>
          <w:p>
            <w:pPr>
              <w:jc w:val="center"/>
            </w:pPr>
            <w:r/>
            <w:r>
              <w:rPr>
                <w:rFonts w:ascii="Times New Roman" w:hAnsi="Times New Roman" w:eastAsia="宋体"/>
                <w:b w:val="0"/>
                <w:sz w:val="18"/>
              </w:rPr>
              <w:t>6</w:t>
            </w:r>
          </w:p>
        </w:tc>
        <w:tc>
          <w:tcPr>
            <w:tcW w:type="dxa" w:w="829"/>
            <w:vAlign w:val="center"/>
          </w:tcPr>
          <w:p>
            <w:pPr>
              <w:jc w:val="center"/>
            </w:pPr>
            <w:r/>
            <w:r>
              <w:rPr>
                <w:rFonts w:ascii="Times New Roman" w:hAnsi="Times New Roman" w:eastAsia="宋体"/>
                <w:b w:val="0"/>
                <w:sz w:val="18"/>
              </w:rPr>
              <w:t>60</w:t>
            </w:r>
          </w:p>
        </w:tc>
        <w:tc>
          <w:tcPr>
            <w:tcW w:type="dxa" w:w="829"/>
            <w:vAlign w:val="center"/>
          </w:tcPr>
          <w:p>
            <w:pPr>
              <w:jc w:val="center"/>
            </w:pPr>
            <w:r/>
            <w:r>
              <w:rPr>
                <w:rFonts w:ascii="Times New Roman" w:hAnsi="Times New Roman" w:eastAsia="宋体"/>
                <w:b w:val="0"/>
                <w:sz w:val="18"/>
              </w:rPr>
              <w:t>0.5000</w:t>
            </w:r>
          </w:p>
        </w:tc>
        <w:tc>
          <w:tcPr>
            <w:tcW w:type="dxa" w:w="829"/>
            <w:vAlign w:val="center"/>
          </w:tcPr>
          <w:p>
            <w:pPr>
              <w:jc w:val="center"/>
            </w:pPr>
            <w:r/>
            <w:r>
              <w:rPr>
                <w:rFonts w:ascii="Times New Roman" w:hAnsi="Times New Roman" w:eastAsia="宋体"/>
                <w:b w:val="0"/>
                <w:sz w:val="18"/>
              </w:rPr>
              <w:t>0.4583</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0.9167</w:t>
            </w:r>
          </w:p>
        </w:tc>
        <w:tc>
          <w:tcPr>
            <w:tcW w:type="dxa" w:w="829"/>
            <w:vAlign w:val="center"/>
          </w:tcPr>
          <w:p>
            <w:pPr>
              <w:jc w:val="center"/>
            </w:pPr>
            <w:r/>
            <w:r>
              <w:rPr>
                <w:rFonts w:ascii="Times New Roman" w:hAnsi="Times New Roman" w:eastAsia="宋体"/>
                <w:b w:val="0"/>
                <w:sz w:val="18"/>
              </w:rPr>
              <w:t>-</w:t>
            </w:r>
          </w:p>
        </w:tc>
      </w:tr>
      <w:tr>
        <w:tc>
          <w:tcPr>
            <w:tcW w:type="dxa" w:w="829"/>
            <w:vAlign w:val="center"/>
          </w:tcPr>
          <w:p>
            <w:pPr>
              <w:jc w:val="center"/>
            </w:pPr>
            <w:r/>
            <w:r>
              <w:rPr>
                <w:rFonts w:ascii="Times New Roman" w:hAnsi="Times New Roman" w:eastAsia="宋体"/>
                <w:b w:val="0"/>
                <w:sz w:val="18"/>
              </w:rPr>
              <w:t>1.2 仅序列表示</w:t>
            </w:r>
          </w:p>
        </w:tc>
        <w:tc>
          <w:tcPr>
            <w:tcW w:type="dxa" w:w="829"/>
            <w:vAlign w:val="center"/>
          </w:tcPr>
          <w:p>
            <w:pPr>
              <w:jc w:val="center"/>
            </w:pPr>
            <w:r/>
            <w:r>
              <w:rPr>
                <w:rFonts w:ascii="Times New Roman" w:hAnsi="Times New Roman" w:eastAsia="宋体"/>
                <w:b w:val="0"/>
                <w:sz w:val="18"/>
              </w:rPr>
              <w:t>5247</w:t>
            </w:r>
          </w:p>
        </w:tc>
        <w:tc>
          <w:tcPr>
            <w:tcW w:type="dxa" w:w="829"/>
            <w:vAlign w:val="center"/>
          </w:tcPr>
          <w:p>
            <w:pPr>
              <w:jc w:val="center"/>
            </w:pPr>
            <w:r/>
            <w:r>
              <w:rPr>
                <w:rFonts w:ascii="Times New Roman" w:hAnsi="Times New Roman" w:eastAsia="宋体"/>
                <w:b w:val="0"/>
                <w:sz w:val="18"/>
              </w:rPr>
              <w:t>0.8745</w:t>
            </w:r>
          </w:p>
        </w:tc>
        <w:tc>
          <w:tcPr>
            <w:tcW w:type="dxa" w:w="829"/>
            <w:vAlign w:val="center"/>
          </w:tcPr>
          <w:p>
            <w:pPr>
              <w:jc w:val="center"/>
            </w:pPr>
            <w:r/>
            <w:r>
              <w:rPr>
                <w:rFonts w:ascii="Times New Roman" w:hAnsi="Times New Roman" w:eastAsia="宋体"/>
                <w:b w:val="0"/>
                <w:sz w:val="18"/>
              </w:rPr>
              <w:t>0.9987</w:t>
            </w:r>
          </w:p>
        </w:tc>
        <w:tc>
          <w:tcPr>
            <w:tcW w:type="dxa" w:w="829"/>
            <w:vAlign w:val="center"/>
          </w:tcPr>
          <w:p>
            <w:pPr>
              <w:jc w:val="center"/>
            </w:pPr>
            <w:r/>
            <w:r>
              <w:rPr>
                <w:rFonts w:ascii="Times New Roman" w:hAnsi="Times New Roman" w:eastAsia="宋体"/>
                <w:b w:val="0"/>
                <w:sz w:val="18"/>
              </w:rPr>
              <w:t>10</w:t>
            </w:r>
          </w:p>
        </w:tc>
        <w:tc>
          <w:tcPr>
            <w:tcW w:type="dxa" w:w="829"/>
            <w:vAlign w:val="center"/>
          </w:tcPr>
          <w:p>
            <w:pPr>
              <w:jc w:val="center"/>
            </w:pPr>
            <w:r/>
            <w:r>
              <w:rPr>
                <w:rFonts w:ascii="Times New Roman" w:hAnsi="Times New Roman" w:eastAsia="宋体"/>
                <w:b w:val="0"/>
                <w:sz w:val="18"/>
              </w:rPr>
              <w:t>120</w:t>
            </w:r>
          </w:p>
        </w:tc>
        <w:tc>
          <w:tcPr>
            <w:tcW w:type="dxa" w:w="829"/>
            <w:vAlign w:val="center"/>
          </w:tcPr>
          <w:p>
            <w:pPr>
              <w:jc w:val="center"/>
            </w:pPr>
            <w:r/>
            <w:r>
              <w:rPr>
                <w:rFonts w:ascii="Times New Roman" w:hAnsi="Times New Roman" w:eastAsia="宋体"/>
                <w:b w:val="0"/>
                <w:sz w:val="18"/>
              </w:rPr>
              <w:t>0.5000</w:t>
            </w:r>
          </w:p>
        </w:tc>
        <w:tc>
          <w:tcPr>
            <w:tcW w:type="dxa" w:w="829"/>
            <w:vAlign w:val="center"/>
          </w:tcPr>
          <w:p>
            <w:pPr>
              <w:jc w:val="center"/>
            </w:pPr>
            <w:r/>
            <w:r>
              <w:rPr>
                <w:rFonts w:ascii="Times New Roman" w:hAnsi="Times New Roman" w:eastAsia="宋体"/>
                <w:b w:val="0"/>
                <w:sz w:val="18"/>
              </w:rPr>
              <w:t>0.4583</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0.9583</w:t>
            </w:r>
          </w:p>
        </w:tc>
        <w:tc>
          <w:tcPr>
            <w:tcW w:type="dxa" w:w="829"/>
            <w:vAlign w:val="center"/>
          </w:tcPr>
          <w:p>
            <w:pPr>
              <w:jc w:val="center"/>
            </w:pPr>
            <w:r/>
            <w:r>
              <w:rPr>
                <w:rFonts w:ascii="Times New Roman" w:hAnsi="Times New Roman" w:eastAsia="宋体"/>
                <w:b w:val="0"/>
                <w:sz w:val="18"/>
              </w:rPr>
              <w:t>后半段复用 baseline</w:t>
            </w:r>
          </w:p>
        </w:tc>
      </w:tr>
      <w:tr>
        <w:tc>
          <w:tcPr>
            <w:tcW w:type="dxa" w:w="829"/>
            <w:vAlign w:val="center"/>
          </w:tcPr>
          <w:p>
            <w:pPr>
              <w:jc w:val="center"/>
            </w:pPr>
            <w:r/>
            <w:r>
              <w:rPr>
                <w:rFonts w:ascii="Times New Roman" w:hAnsi="Times New Roman" w:eastAsia="宋体"/>
                <w:b w:val="0"/>
                <w:sz w:val="18"/>
              </w:rPr>
              <w:t>1.3 fanout&gt;2，include segmented</w:t>
            </w:r>
          </w:p>
        </w:tc>
        <w:tc>
          <w:tcPr>
            <w:tcW w:type="dxa" w:w="829"/>
            <w:vAlign w:val="center"/>
          </w:tcPr>
          <w:p>
            <w:pPr>
              <w:jc w:val="center"/>
            </w:pPr>
            <w:r/>
            <w:r>
              <w:rPr>
                <w:rFonts w:ascii="Times New Roman" w:hAnsi="Times New Roman" w:eastAsia="宋体"/>
                <w:b w:val="0"/>
                <w:sz w:val="18"/>
              </w:rPr>
              <w:t>5287</w:t>
            </w:r>
          </w:p>
        </w:tc>
        <w:tc>
          <w:tcPr>
            <w:tcW w:type="dxa" w:w="829"/>
            <w:vAlign w:val="center"/>
          </w:tcPr>
          <w:p>
            <w:pPr>
              <w:jc w:val="center"/>
            </w:pPr>
            <w:r/>
            <w:r>
              <w:rPr>
                <w:rFonts w:ascii="Times New Roman" w:hAnsi="Times New Roman" w:eastAsia="宋体"/>
                <w:b w:val="0"/>
                <w:sz w:val="18"/>
              </w:rPr>
              <w:t>0.8329</w:t>
            </w:r>
          </w:p>
        </w:tc>
        <w:tc>
          <w:tcPr>
            <w:tcW w:type="dxa" w:w="829"/>
            <w:vAlign w:val="center"/>
          </w:tcPr>
          <w:p>
            <w:pPr>
              <w:jc w:val="center"/>
            </w:pPr>
            <w:r/>
            <w:r>
              <w:rPr>
                <w:rFonts w:ascii="Times New Roman" w:hAnsi="Times New Roman" w:eastAsia="宋体"/>
                <w:b w:val="0"/>
                <w:sz w:val="18"/>
              </w:rPr>
              <w:t>0.9997</w:t>
            </w:r>
          </w:p>
        </w:tc>
        <w:tc>
          <w:tcPr>
            <w:tcW w:type="dxa" w:w="829"/>
            <w:vAlign w:val="center"/>
          </w:tcPr>
          <w:p>
            <w:pPr>
              <w:jc w:val="center"/>
            </w:pPr>
            <w:r/>
            <w:r>
              <w:rPr>
                <w:rFonts w:ascii="Times New Roman" w:hAnsi="Times New Roman" w:eastAsia="宋体"/>
                <w:b w:val="0"/>
                <w:sz w:val="18"/>
              </w:rPr>
              <w:t>6</w:t>
            </w:r>
          </w:p>
        </w:tc>
        <w:tc>
          <w:tcPr>
            <w:tcW w:type="dxa" w:w="829"/>
            <w:vAlign w:val="center"/>
          </w:tcPr>
          <w:p>
            <w:pPr>
              <w:jc w:val="center"/>
            </w:pPr>
            <w:r/>
            <w:r>
              <w:rPr>
                <w:rFonts w:ascii="Times New Roman" w:hAnsi="Times New Roman" w:eastAsia="宋体"/>
                <w:b w:val="0"/>
                <w:sz w:val="18"/>
              </w:rPr>
              <w:t>60</w:t>
            </w:r>
          </w:p>
        </w:tc>
        <w:tc>
          <w:tcPr>
            <w:tcW w:type="dxa" w:w="829"/>
            <w:vAlign w:val="center"/>
          </w:tcPr>
          <w:p>
            <w:pPr>
              <w:jc w:val="center"/>
            </w:pPr>
            <w:r/>
            <w:r>
              <w:rPr>
                <w:rFonts w:ascii="Times New Roman" w:hAnsi="Times New Roman" w:eastAsia="宋体"/>
                <w:b w:val="0"/>
                <w:sz w:val="18"/>
              </w:rPr>
              <w:t>0.5000</w:t>
            </w:r>
          </w:p>
        </w:tc>
        <w:tc>
          <w:tcPr>
            <w:tcW w:type="dxa" w:w="829"/>
            <w:vAlign w:val="center"/>
          </w:tcPr>
          <w:p>
            <w:pPr>
              <w:jc w:val="center"/>
            </w:pPr>
            <w:r/>
            <w:r>
              <w:rPr>
                <w:rFonts w:ascii="Times New Roman" w:hAnsi="Times New Roman" w:eastAsia="宋体"/>
                <w:b w:val="0"/>
                <w:sz w:val="18"/>
              </w:rPr>
              <w:t>0.4167</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0.9167</w:t>
            </w:r>
          </w:p>
        </w:tc>
        <w:tc>
          <w:tcPr>
            <w:tcW w:type="dxa" w:w="829"/>
            <w:vAlign w:val="center"/>
          </w:tcPr>
          <w:p>
            <w:pPr>
              <w:jc w:val="center"/>
            </w:pPr>
            <w:r/>
            <w:r>
              <w:rPr>
                <w:rFonts w:ascii="Times New Roman" w:hAnsi="Times New Roman" w:eastAsia="宋体"/>
                <w:b w:val="0"/>
                <w:sz w:val="18"/>
              </w:rPr>
              <w:t>-</w:t>
            </w:r>
          </w:p>
        </w:tc>
      </w:tr>
      <w:tr>
        <w:tc>
          <w:tcPr>
            <w:tcW w:type="dxa" w:w="829"/>
            <w:vAlign w:val="center"/>
          </w:tcPr>
          <w:p>
            <w:pPr>
              <w:jc w:val="center"/>
            </w:pPr>
            <w:r/>
            <w:r>
              <w:rPr>
                <w:rFonts w:ascii="Times New Roman" w:hAnsi="Times New Roman" w:eastAsia="宋体"/>
                <w:b w:val="0"/>
                <w:sz w:val="18"/>
              </w:rPr>
              <w:t>1.3 fanout&gt;3，exclude segmented</w:t>
            </w:r>
          </w:p>
        </w:tc>
        <w:tc>
          <w:tcPr>
            <w:tcW w:type="dxa" w:w="829"/>
            <w:vAlign w:val="center"/>
          </w:tcPr>
          <w:p>
            <w:pPr>
              <w:jc w:val="center"/>
            </w:pPr>
            <w:r/>
            <w:r>
              <w:rPr>
                <w:rFonts w:ascii="Times New Roman" w:hAnsi="Times New Roman" w:eastAsia="宋体"/>
                <w:b w:val="0"/>
                <w:sz w:val="18"/>
              </w:rPr>
              <w:t>3161</w:t>
            </w:r>
          </w:p>
        </w:tc>
        <w:tc>
          <w:tcPr>
            <w:tcW w:type="dxa" w:w="829"/>
            <w:vAlign w:val="center"/>
          </w:tcPr>
          <w:p>
            <w:pPr>
              <w:jc w:val="center"/>
            </w:pPr>
            <w:r/>
            <w:r>
              <w:rPr>
                <w:rFonts w:ascii="Times New Roman" w:hAnsi="Times New Roman" w:eastAsia="宋体"/>
                <w:b w:val="0"/>
                <w:sz w:val="18"/>
              </w:rPr>
              <w:t>0.4992</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3</w:t>
            </w:r>
          </w:p>
        </w:tc>
        <w:tc>
          <w:tcPr>
            <w:tcW w:type="dxa" w:w="829"/>
            <w:vAlign w:val="center"/>
          </w:tcPr>
          <w:p>
            <w:pPr>
              <w:jc w:val="center"/>
            </w:pPr>
            <w:r/>
            <w:r>
              <w:rPr>
                <w:rFonts w:ascii="Times New Roman" w:hAnsi="Times New Roman" w:eastAsia="宋体"/>
                <w:b w:val="0"/>
                <w:sz w:val="18"/>
              </w:rPr>
              <w:t>60</w:t>
            </w:r>
          </w:p>
        </w:tc>
        <w:tc>
          <w:tcPr>
            <w:tcW w:type="dxa" w:w="829"/>
            <w:vAlign w:val="center"/>
          </w:tcPr>
          <w:p>
            <w:pPr>
              <w:jc w:val="center"/>
            </w:pPr>
            <w:r/>
            <w:r>
              <w:rPr>
                <w:rFonts w:ascii="Times New Roman" w:hAnsi="Times New Roman" w:eastAsia="宋体"/>
                <w:b w:val="0"/>
                <w:sz w:val="18"/>
              </w:rPr>
              <w:t>0.5000</w:t>
            </w:r>
          </w:p>
        </w:tc>
        <w:tc>
          <w:tcPr>
            <w:tcW w:type="dxa" w:w="829"/>
            <w:vAlign w:val="center"/>
          </w:tcPr>
          <w:p>
            <w:pPr>
              <w:jc w:val="center"/>
            </w:pPr>
            <w:r/>
            <w:r>
              <w:rPr>
                <w:rFonts w:ascii="Times New Roman" w:hAnsi="Times New Roman" w:eastAsia="宋体"/>
                <w:b w:val="0"/>
                <w:sz w:val="18"/>
              </w:rPr>
              <w:t>0.4167</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0.9500</w:t>
            </w:r>
          </w:p>
        </w:tc>
        <w:tc>
          <w:tcPr>
            <w:tcW w:type="dxa" w:w="829"/>
            <w:vAlign w:val="center"/>
          </w:tcPr>
          <w:p>
            <w:pPr>
              <w:jc w:val="center"/>
            </w:pPr>
            <w:r/>
            <w:r>
              <w:rPr>
                <w:rFonts w:ascii="Times New Roman" w:hAnsi="Times New Roman" w:eastAsia="宋体"/>
                <w:b w:val="0"/>
                <w:sz w:val="18"/>
              </w:rPr>
              <w:t>-</w:t>
            </w:r>
          </w:p>
        </w:tc>
      </w:tr>
      <w:tr>
        <w:tc>
          <w:tcPr>
            <w:tcW w:type="dxa" w:w="829"/>
            <w:vAlign w:val="center"/>
          </w:tcPr>
          <w:p>
            <w:pPr>
              <w:jc w:val="center"/>
            </w:pPr>
            <w:r/>
            <w:r>
              <w:rPr>
                <w:rFonts w:ascii="Times New Roman" w:hAnsi="Times New Roman" w:eastAsia="宋体"/>
                <w:b w:val="0"/>
                <w:sz w:val="18"/>
              </w:rPr>
              <w:t>1.3 fanout&gt;3，include segmented（失败）</w:t>
            </w:r>
          </w:p>
        </w:tc>
        <w:tc>
          <w:tcPr>
            <w:tcW w:type="dxa" w:w="829"/>
            <w:vAlign w:val="center"/>
          </w:tcPr>
          <w:p>
            <w:pPr>
              <w:jc w:val="center"/>
            </w:pPr>
            <w:r/>
            <w:r>
              <w:rPr>
                <w:rFonts w:ascii="Times New Roman" w:hAnsi="Times New Roman" w:eastAsia="宋体"/>
                <w:b w:val="0"/>
                <w:sz w:val="18"/>
              </w:rPr>
              <w:t>-</w:t>
            </w:r>
          </w:p>
        </w:tc>
        <w:tc>
          <w:tcPr>
            <w:tcW w:type="dxa" w:w="829"/>
            <w:vAlign w:val="center"/>
          </w:tcPr>
          <w:p>
            <w:pPr>
              <w:jc w:val="center"/>
            </w:pPr>
            <w:r/>
            <w:r>
              <w:rPr>
                <w:rFonts w:ascii="Times New Roman" w:hAnsi="Times New Roman" w:eastAsia="宋体"/>
                <w:b w:val="0"/>
                <w:sz w:val="18"/>
              </w:rPr>
              <w:t>-</w:t>
            </w:r>
          </w:p>
        </w:tc>
        <w:tc>
          <w:tcPr>
            <w:tcW w:type="dxa" w:w="829"/>
            <w:vAlign w:val="center"/>
          </w:tcPr>
          <w:p>
            <w:pPr>
              <w:jc w:val="center"/>
            </w:pPr>
            <w:r/>
            <w:r>
              <w:rPr>
                <w:rFonts w:ascii="Times New Roman" w:hAnsi="Times New Roman" w:eastAsia="宋体"/>
                <w:b w:val="0"/>
                <w:sz w:val="18"/>
              </w:rPr>
              <w:t>-</w:t>
            </w:r>
          </w:p>
        </w:tc>
        <w:tc>
          <w:tcPr>
            <w:tcW w:type="dxa" w:w="829"/>
            <w:vAlign w:val="center"/>
          </w:tcPr>
          <w:p>
            <w:pPr>
              <w:jc w:val="center"/>
            </w:pPr>
            <w:r/>
            <w:r>
              <w:rPr>
                <w:rFonts w:ascii="Times New Roman" w:hAnsi="Times New Roman" w:eastAsia="宋体"/>
                <w:b w:val="0"/>
                <w:sz w:val="18"/>
              </w:rPr>
              <w:t>-</w:t>
            </w:r>
          </w:p>
        </w:tc>
        <w:tc>
          <w:tcPr>
            <w:tcW w:type="dxa" w:w="829"/>
            <w:vAlign w:val="center"/>
          </w:tcPr>
          <w:p>
            <w:pPr>
              <w:jc w:val="center"/>
            </w:pPr>
            <w:r/>
            <w:r>
              <w:rPr>
                <w:rFonts w:ascii="Times New Roman" w:hAnsi="Times New Roman" w:eastAsia="宋体"/>
                <w:b w:val="0"/>
                <w:sz w:val="18"/>
              </w:rPr>
              <w:t>-</w:t>
            </w:r>
          </w:p>
        </w:tc>
        <w:tc>
          <w:tcPr>
            <w:tcW w:type="dxa" w:w="829"/>
            <w:vAlign w:val="center"/>
          </w:tcPr>
          <w:p>
            <w:pPr>
              <w:jc w:val="center"/>
            </w:pPr>
            <w:r/>
            <w:r>
              <w:rPr>
                <w:rFonts w:ascii="Times New Roman" w:hAnsi="Times New Roman" w:eastAsia="宋体"/>
                <w:b w:val="0"/>
                <w:sz w:val="18"/>
              </w:rPr>
              <w:t>-</w:t>
            </w:r>
          </w:p>
        </w:tc>
        <w:tc>
          <w:tcPr>
            <w:tcW w:type="dxa" w:w="829"/>
            <w:vAlign w:val="center"/>
          </w:tcPr>
          <w:p>
            <w:pPr>
              <w:jc w:val="center"/>
            </w:pPr>
            <w:r/>
            <w:r>
              <w:rPr>
                <w:rFonts w:ascii="Times New Roman" w:hAnsi="Times New Roman" w:eastAsia="宋体"/>
                <w:b w:val="0"/>
                <w:sz w:val="18"/>
              </w:rPr>
              <w:t>-</w:t>
            </w:r>
          </w:p>
        </w:tc>
        <w:tc>
          <w:tcPr>
            <w:tcW w:type="dxa" w:w="829"/>
            <w:vAlign w:val="center"/>
          </w:tcPr>
          <w:p>
            <w:pPr>
              <w:jc w:val="center"/>
            </w:pPr>
            <w:r/>
            <w:r>
              <w:rPr>
                <w:rFonts w:ascii="Times New Roman" w:hAnsi="Times New Roman" w:eastAsia="宋体"/>
                <w:b w:val="0"/>
                <w:sz w:val="18"/>
              </w:rPr>
              <w:t>-</w:t>
            </w:r>
          </w:p>
        </w:tc>
        <w:tc>
          <w:tcPr>
            <w:tcW w:type="dxa" w:w="829"/>
            <w:vAlign w:val="center"/>
          </w:tcPr>
          <w:p>
            <w:pPr>
              <w:jc w:val="center"/>
            </w:pPr>
            <w:r/>
            <w:r>
              <w:rPr>
                <w:rFonts w:ascii="Times New Roman" w:hAnsi="Times New Roman" w:eastAsia="宋体"/>
                <w:b w:val="0"/>
                <w:sz w:val="18"/>
              </w:rPr>
              <w:t>-</w:t>
            </w:r>
          </w:p>
        </w:tc>
        <w:tc>
          <w:tcPr>
            <w:tcW w:type="dxa" w:w="829"/>
            <w:vAlign w:val="center"/>
          </w:tcPr>
          <w:p>
            <w:pPr>
              <w:jc w:val="center"/>
            </w:pPr>
            <w:r/>
            <w:r>
              <w:rPr>
                <w:rFonts w:ascii="Times New Roman" w:hAnsi="Times New Roman" w:eastAsia="宋体"/>
                <w:b w:val="0"/>
                <w:sz w:val="18"/>
              </w:rPr>
              <w:t>TimeoutError('timed out')</w:t>
            </w:r>
          </w:p>
        </w:tc>
      </w:tr>
      <w:tr>
        <w:tc>
          <w:tcPr>
            <w:tcW w:type="dxa" w:w="829"/>
            <w:vAlign w:val="center"/>
          </w:tcPr>
          <w:p>
            <w:pPr>
              <w:jc w:val="center"/>
            </w:pPr>
            <w:r/>
            <w:r>
              <w:rPr>
                <w:rFonts w:ascii="Times New Roman" w:hAnsi="Times New Roman" w:eastAsia="宋体"/>
                <w:b w:val="0"/>
                <w:sz w:val="18"/>
              </w:rPr>
              <w:t>1.3 connected 切图</w:t>
            </w:r>
          </w:p>
        </w:tc>
        <w:tc>
          <w:tcPr>
            <w:tcW w:type="dxa" w:w="829"/>
            <w:vAlign w:val="center"/>
          </w:tcPr>
          <w:p>
            <w:pPr>
              <w:jc w:val="center"/>
            </w:pPr>
            <w:r/>
            <w:r>
              <w:rPr>
                <w:rFonts w:ascii="Times New Roman" w:hAnsi="Times New Roman" w:eastAsia="宋体"/>
                <w:b w:val="0"/>
                <w:sz w:val="18"/>
              </w:rPr>
              <w:t>136</w:t>
            </w:r>
          </w:p>
        </w:tc>
        <w:tc>
          <w:tcPr>
            <w:tcW w:type="dxa" w:w="829"/>
            <w:vAlign w:val="center"/>
          </w:tcPr>
          <w:p>
            <w:pPr>
              <w:jc w:val="center"/>
            </w:pPr>
            <w:r/>
            <w:r>
              <w:rPr>
                <w:rFonts w:ascii="Times New Roman" w:hAnsi="Times New Roman" w:eastAsia="宋体"/>
                <w:b w:val="0"/>
                <w:sz w:val="18"/>
              </w:rPr>
              <w:t>0.4909</w:t>
            </w:r>
          </w:p>
        </w:tc>
        <w:tc>
          <w:tcPr>
            <w:tcW w:type="dxa" w:w="829"/>
            <w:vAlign w:val="center"/>
          </w:tcPr>
          <w:p>
            <w:pPr>
              <w:jc w:val="center"/>
            </w:pPr>
            <w:r/>
            <w:r>
              <w:rPr>
                <w:rFonts w:ascii="Times New Roman" w:hAnsi="Times New Roman" w:eastAsia="宋体"/>
                <w:b w:val="0"/>
                <w:sz w:val="18"/>
              </w:rPr>
              <w:t>0.2963</w:t>
            </w:r>
          </w:p>
        </w:tc>
        <w:tc>
          <w:tcPr>
            <w:tcW w:type="dxa" w:w="829"/>
            <w:vAlign w:val="center"/>
          </w:tcPr>
          <w:p>
            <w:pPr>
              <w:jc w:val="center"/>
            </w:pPr>
            <w:r/>
            <w:r>
              <w:rPr>
                <w:rFonts w:ascii="Times New Roman" w:hAnsi="Times New Roman" w:eastAsia="宋体"/>
                <w:b w:val="0"/>
                <w:sz w:val="18"/>
              </w:rPr>
              <w:t>2</w:t>
            </w:r>
          </w:p>
        </w:tc>
        <w:tc>
          <w:tcPr>
            <w:tcW w:type="dxa" w:w="829"/>
            <w:vAlign w:val="center"/>
          </w:tcPr>
          <w:p>
            <w:pPr>
              <w:jc w:val="center"/>
            </w:pPr>
            <w:r/>
            <w:r>
              <w:rPr>
                <w:rFonts w:ascii="Times New Roman" w:hAnsi="Times New Roman" w:eastAsia="宋体"/>
                <w:b w:val="0"/>
                <w:sz w:val="18"/>
              </w:rPr>
              <w:t>27</w:t>
            </w:r>
          </w:p>
        </w:tc>
        <w:tc>
          <w:tcPr>
            <w:tcW w:type="dxa" w:w="829"/>
            <w:vAlign w:val="center"/>
          </w:tcPr>
          <w:p>
            <w:pPr>
              <w:jc w:val="center"/>
            </w:pPr>
            <w:r/>
            <w:r>
              <w:rPr>
                <w:rFonts w:ascii="Times New Roman" w:hAnsi="Times New Roman" w:eastAsia="宋体"/>
                <w:b w:val="0"/>
                <w:sz w:val="18"/>
              </w:rPr>
              <w:t>0.2500</w:t>
            </w:r>
          </w:p>
        </w:tc>
        <w:tc>
          <w:tcPr>
            <w:tcW w:type="dxa" w:w="829"/>
            <w:vAlign w:val="center"/>
          </w:tcPr>
          <w:p>
            <w:pPr>
              <w:jc w:val="center"/>
            </w:pPr>
            <w:r/>
            <w:r>
              <w:rPr>
                <w:rFonts w:ascii="Times New Roman" w:hAnsi="Times New Roman" w:eastAsia="宋体"/>
                <w:b w:val="0"/>
                <w:sz w:val="18"/>
              </w:rPr>
              <w:t>0.2000</w:t>
            </w:r>
          </w:p>
        </w:tc>
        <w:tc>
          <w:tcPr>
            <w:tcW w:type="dxa" w:w="829"/>
            <w:vAlign w:val="center"/>
          </w:tcPr>
          <w:p>
            <w:pPr>
              <w:jc w:val="center"/>
            </w:pPr>
            <w:r/>
            <w:r>
              <w:rPr>
                <w:rFonts w:ascii="Times New Roman" w:hAnsi="Times New Roman" w:eastAsia="宋体"/>
                <w:b w:val="0"/>
                <w:sz w:val="18"/>
              </w:rPr>
              <w:t>1.0000</w:t>
            </w:r>
          </w:p>
        </w:tc>
        <w:tc>
          <w:tcPr>
            <w:tcW w:type="dxa" w:w="829"/>
            <w:vAlign w:val="center"/>
          </w:tcPr>
          <w:p>
            <w:pPr>
              <w:jc w:val="center"/>
            </w:pPr>
            <w:r/>
            <w:r>
              <w:rPr>
                <w:rFonts w:ascii="Times New Roman" w:hAnsi="Times New Roman" w:eastAsia="宋体"/>
                <w:b w:val="0"/>
                <w:sz w:val="18"/>
              </w:rPr>
              <w:t>0.9259</w:t>
            </w:r>
          </w:p>
        </w:tc>
        <w:tc>
          <w:tcPr>
            <w:tcW w:type="dxa" w:w="829"/>
            <w:vAlign w:val="center"/>
          </w:tcPr>
          <w:p>
            <w:pPr>
              <w:jc w:val="center"/>
            </w:pPr>
            <w:r/>
            <w:r>
              <w:rPr>
                <w:rFonts w:ascii="Times New Roman" w:hAnsi="Times New Roman" w:eastAsia="宋体"/>
                <w:b w:val="0"/>
                <w:sz w:val="18"/>
              </w:rPr>
              <w:t>connected 粒度极粗</w:t>
            </w:r>
          </w:p>
        </w:tc>
      </w:tr>
    </w:tbl>
    <w:p/>
    <w:p>
      <w:r>
        <w:rPr>
          <w:rFonts w:ascii="Times New Roman" w:hAnsi="Times New Roman" w:eastAsia="黑体"/>
          <w:b/>
          <w:sz w:val="24"/>
        </w:rPr>
        <w:t>3.1 CADETS 各变体选中的 predicted-positive 任务</w:t>
      </w:r>
    </w:p>
    <w:p>
      <w:pPr>
        <w:spacing w:line="360" w:lineRule="auto"/>
        <w:ind w:left="420" w:hanging="283"/>
      </w:pPr>
      <w:r>
        <w:rPr>
          <w:rFonts w:ascii="Times New Roman" w:hAnsi="Times New Roman" w:eastAsia="宋体"/>
          <w:b w:val="0"/>
          <w:sz w:val="22"/>
        </w:rPr>
        <w:t>• Baseline（晚期融合，fanout&gt;2，exclude）：模块2 选中的 predicted-positive 任务为 task_0001, task_0005, task_0006, task_0012, task_0013, task_0024, task_0034, task_0076, task_0086, task_1021。</w:t>
      </w:r>
    </w:p>
    <w:p>
      <w:pPr>
        <w:spacing w:line="360" w:lineRule="auto"/>
        <w:ind w:left="420" w:hanging="283"/>
      </w:pPr>
      <w:r>
        <w:rPr>
          <w:rFonts w:ascii="Times New Roman" w:hAnsi="Times New Roman" w:eastAsia="宋体"/>
          <w:b w:val="0"/>
          <w:sz w:val="22"/>
        </w:rPr>
        <w:t>• 1.1 关闭图统计晚期融合：模块2 选中的 predicted-positive 任务为 task_0005, task_0012, task_0013, task_0034, task_0086, task_1021。</w:t>
      </w:r>
    </w:p>
    <w:p>
      <w:pPr>
        <w:spacing w:line="360" w:lineRule="auto"/>
        <w:ind w:left="420" w:hanging="283"/>
      </w:pPr>
      <w:r>
        <w:rPr>
          <w:rFonts w:ascii="Times New Roman" w:hAnsi="Times New Roman" w:eastAsia="宋体"/>
          <w:b w:val="0"/>
          <w:sz w:val="22"/>
        </w:rPr>
        <w:t>• 1.2 早期拼接（序列+统计直接拼接）：模块2 选中的 predicted-positive 任务为 task_0005, task_0012, task_0013, task_0034, task_0086, task_1021。</w:t>
      </w:r>
    </w:p>
    <w:p>
      <w:pPr>
        <w:spacing w:line="360" w:lineRule="auto"/>
        <w:ind w:left="420" w:hanging="283"/>
      </w:pPr>
      <w:r>
        <w:rPr>
          <w:rFonts w:ascii="Times New Roman" w:hAnsi="Times New Roman" w:eastAsia="宋体"/>
          <w:b w:val="0"/>
          <w:sz w:val="22"/>
        </w:rPr>
        <w:t>• 1.2 仅序列表示：模块2 选中的 predicted-positive 任务为 task_0001, task_0005, task_0006, task_0012, task_0013, task_0024, task_0034, task_0076, task_0086, task_1021。</w:t>
      </w:r>
    </w:p>
    <w:p>
      <w:pPr>
        <w:spacing w:line="360" w:lineRule="auto"/>
        <w:ind w:left="420" w:hanging="283"/>
      </w:pPr>
      <w:r>
        <w:rPr>
          <w:rFonts w:ascii="Times New Roman" w:hAnsi="Times New Roman" w:eastAsia="宋体"/>
          <w:b w:val="0"/>
          <w:sz w:val="22"/>
        </w:rPr>
        <w:t>• 1.3 fanout&gt;2，include segmented：模块2 选中的 predicted-positive 任务为 task_0005, task_0012, task_0013, task_0034, task_0086, task_1029。</w:t>
      </w:r>
    </w:p>
    <w:p>
      <w:pPr>
        <w:spacing w:line="360" w:lineRule="auto"/>
        <w:ind w:left="420" w:hanging="283"/>
      </w:pPr>
      <w:r>
        <w:rPr>
          <w:rFonts w:ascii="Times New Roman" w:hAnsi="Times New Roman" w:eastAsia="宋体"/>
          <w:b w:val="0"/>
          <w:sz w:val="22"/>
        </w:rPr>
        <w:t>• 1.3 fanout&gt;3，exclude segmented：模块2 选中的 predicted-positive 任务为 task_0005, task_0013, task_0656。</w:t>
      </w:r>
    </w:p>
    <w:p>
      <w:pPr>
        <w:spacing w:line="360" w:lineRule="auto"/>
        <w:ind w:left="420" w:hanging="283"/>
      </w:pPr>
      <w:r>
        <w:rPr>
          <w:rFonts w:ascii="Times New Roman" w:hAnsi="Times New Roman" w:eastAsia="宋体"/>
          <w:b w:val="0"/>
          <w:sz w:val="22"/>
        </w:rPr>
        <w:t>• 1.3 fanout&gt;3，include segmented（失败）：失败，错误为 TimeoutError('timed out')。</w:t>
      </w:r>
    </w:p>
    <w:p>
      <w:pPr>
        <w:spacing w:line="360" w:lineRule="auto"/>
        <w:ind w:left="420" w:hanging="283"/>
      </w:pPr>
      <w:r>
        <w:rPr>
          <w:rFonts w:ascii="Times New Roman" w:hAnsi="Times New Roman" w:eastAsia="宋体"/>
          <w:b w:val="0"/>
          <w:sz w:val="22"/>
        </w:rPr>
        <w:t>• 1.3 connected 切图：模块2 选中的 predicted-positive 任务为 task_0005, task_0006。</w:t>
      </w:r>
    </w:p>
    <w:p>
      <w:r>
        <w:rPr>
          <w:rFonts w:ascii="Times New Roman" w:hAnsi="Times New Roman" w:eastAsia="黑体"/>
          <w:b/>
          <w:sz w:val="24"/>
        </w:rPr>
        <w:t>3.2 TRACE 各变体选中的 predicted-positive 任务</w:t>
      </w:r>
    </w:p>
    <w:p>
      <w:pPr>
        <w:spacing w:line="360" w:lineRule="auto"/>
        <w:ind w:left="420" w:hanging="283"/>
      </w:pPr>
      <w:r>
        <w:rPr>
          <w:rFonts w:ascii="Times New Roman" w:hAnsi="Times New Roman" w:eastAsia="宋体"/>
          <w:b w:val="0"/>
          <w:sz w:val="22"/>
        </w:rPr>
        <w:t>• 1.1 关闭图统计晚期融合：模块2 选中的 predicted-positive 任务为 task_0345, task_0546, task_0557, task_0558。</w:t>
      </w:r>
    </w:p>
    <w:p>
      <w:pPr>
        <w:spacing w:line="360" w:lineRule="auto"/>
        <w:ind w:left="420" w:hanging="283"/>
      </w:pPr>
      <w:r>
        <w:rPr>
          <w:rFonts w:ascii="Times New Roman" w:hAnsi="Times New Roman" w:eastAsia="宋体"/>
          <w:b w:val="0"/>
          <w:sz w:val="22"/>
        </w:rPr>
        <w:t>• 1.2 早期拼接（序列+统计直接拼接）：模块2 选中的 predicted-positive 任务为 task_0345, task_0546, task_0557, task_0558。</w:t>
      </w:r>
    </w:p>
    <w:p>
      <w:pPr>
        <w:spacing w:line="360" w:lineRule="auto"/>
        <w:ind w:left="420" w:hanging="283"/>
      </w:pPr>
      <w:r>
        <w:rPr>
          <w:rFonts w:ascii="Times New Roman" w:hAnsi="Times New Roman" w:eastAsia="宋体"/>
          <w:b w:val="0"/>
          <w:sz w:val="22"/>
        </w:rPr>
        <w:t>• 1.2 仅序列表示：模块2 选中的 predicted-positive 任务为 task_0345, task_0546, task_0557, task_0558。</w:t>
      </w:r>
    </w:p>
    <w:p>
      <w:pPr>
        <w:spacing w:line="360" w:lineRule="auto"/>
        <w:ind w:left="420" w:hanging="283"/>
      </w:pPr>
      <w:r>
        <w:rPr>
          <w:rFonts w:ascii="Times New Roman" w:hAnsi="Times New Roman" w:eastAsia="宋体"/>
          <w:b w:val="0"/>
          <w:sz w:val="22"/>
        </w:rPr>
        <w:t>• 1.3 fanout&gt;2，include segmented：模块2 选中的 predicted-positive 任务为 task_0373, task_0587, task_0599, task_0600。</w:t>
      </w:r>
    </w:p>
    <w:p>
      <w:pPr>
        <w:spacing w:line="360" w:lineRule="auto"/>
        <w:ind w:left="420" w:hanging="283"/>
      </w:pPr>
      <w:r>
        <w:rPr>
          <w:rFonts w:ascii="Times New Roman" w:hAnsi="Times New Roman" w:eastAsia="宋体"/>
          <w:b w:val="0"/>
          <w:sz w:val="22"/>
        </w:rPr>
        <w:t>• 1.3 fanout&gt;3，exclude segmented：模块2 选中的 predicted-positive 任务为 task_0278, task_0445, task_0454。</w:t>
      </w:r>
    </w:p>
    <w:p>
      <w:pPr>
        <w:spacing w:line="360" w:lineRule="auto"/>
        <w:ind w:left="420" w:hanging="283"/>
      </w:pPr>
      <w:r>
        <w:rPr>
          <w:rFonts w:ascii="Times New Roman" w:hAnsi="Times New Roman" w:eastAsia="宋体"/>
          <w:b w:val="0"/>
          <w:sz w:val="22"/>
        </w:rPr>
        <w:t>• 1.3 fanout&gt;3，include segmented：模块2 选中的 predicted-positive 任务为 task_0306, task_0485, task_0495。</w:t>
      </w:r>
    </w:p>
    <w:p>
      <w:pPr>
        <w:spacing w:line="360" w:lineRule="auto"/>
        <w:ind w:left="420" w:hanging="283"/>
      </w:pPr>
      <w:r>
        <w:rPr>
          <w:rFonts w:ascii="Times New Roman" w:hAnsi="Times New Roman" w:eastAsia="宋体"/>
          <w:b w:val="0"/>
          <w:sz w:val="22"/>
        </w:rPr>
        <w:t>• 1.3 connected 切图：模块2 选中的 predicted-positive 任务为 task_0000。</w:t>
      </w:r>
    </w:p>
    <w:p>
      <w:r>
        <w:rPr>
          <w:rFonts w:ascii="Times New Roman" w:hAnsi="Times New Roman" w:eastAsia="黑体"/>
          <w:b/>
          <w:sz w:val="28"/>
        </w:rPr>
        <w:t>4 结果分析与讨论</w:t>
      </w:r>
    </w:p>
    <w:p>
      <w:r>
        <w:rPr>
          <w:rFonts w:ascii="Times New Roman" w:hAnsi="Times New Roman" w:eastAsia="黑体"/>
          <w:b/>
          <w:sz w:val="24"/>
        </w:rPr>
        <w:t>4.1 图统计晚期融合（1.1）</w:t>
      </w:r>
    </w:p>
    <w:p>
      <w:pPr>
        <w:spacing w:line="360" w:lineRule="auto"/>
        <w:ind w:firstLine="420"/>
      </w:pPr>
      <w:r>
        <w:rPr>
          <w:rFonts w:ascii="Times New Roman" w:hAnsi="Times New Roman" w:eastAsia="宋体"/>
          <w:b w:val="0"/>
          <w:sz w:val="24"/>
        </w:rPr>
        <w:t>在 TRACE 上，关闭图统计晚期融合后，模块2 仍然稳定选中同一组 4 张 GT 任务图，后半段结果与 baseline 完全一致，说明当前 TRACE 上的主要区分信息已经被序列表示充分吸收，图统计辅助分支并不是决定性因素。</w:t>
      </w:r>
    </w:p>
    <w:p>
      <w:pPr>
        <w:spacing w:line="360" w:lineRule="auto"/>
        <w:ind w:firstLine="420"/>
      </w:pPr>
      <w:r>
        <w:rPr>
          <w:rFonts w:ascii="Times New Roman" w:hAnsi="Times New Roman" w:eastAsia="宋体"/>
          <w:b w:val="0"/>
          <w:sz w:val="24"/>
        </w:rPr>
        <w:t>在 CADETS 上，关闭晚期融合后模块2 的 F1 由 0.8745 上升到 0.9283，但 predicted-positive 任务由 10 张下降到 6 张；对应地下游 strict_tactic_recall_macro 从 0.4583 降到 0.4167。该现象表明，模块2 表面上的分类更“干净”，但它牺牲了后半段战术识别所依赖的恶意任务覆盖。</w:t>
      </w:r>
    </w:p>
    <w:p>
      <w:r>
        <w:rPr>
          <w:rFonts w:ascii="Times New Roman" w:hAnsi="Times New Roman" w:eastAsia="黑体"/>
          <w:b/>
          <w:sz w:val="24"/>
        </w:rPr>
        <w:t>4.2 节点特征组织方式（1.2）</w:t>
      </w:r>
    </w:p>
    <w:p>
      <w:pPr>
        <w:spacing w:line="360" w:lineRule="auto"/>
        <w:ind w:firstLine="420"/>
      </w:pPr>
      <w:r>
        <w:rPr>
          <w:rFonts w:ascii="Times New Roman" w:hAnsi="Times New Roman" w:eastAsia="宋体"/>
          <w:b w:val="0"/>
          <w:sz w:val="24"/>
        </w:rPr>
        <w:t>TRACE 上，早期拼接与仅序列表示均没有改变 predicted-positive 任务集合，因此后半段结果保持不变。说明在当前 TRACE 切图条件下，统计特征既没有带来显著正增益，也没有构成明显负担。</w:t>
      </w:r>
    </w:p>
    <w:p>
      <w:pPr>
        <w:spacing w:line="360" w:lineRule="auto"/>
        <w:ind w:firstLine="420"/>
      </w:pPr>
      <w:r>
        <w:rPr>
          <w:rFonts w:ascii="Times New Roman" w:hAnsi="Times New Roman" w:eastAsia="宋体"/>
          <w:b w:val="0"/>
          <w:sz w:val="24"/>
        </w:rPr>
        <w:t>CADETS 上，早期拼接与关闭晚期融合几乎表现一致：都将 predicted-positive 任务压缩到 6 张，并导致战术召回下降。相对地，仅序列表示保留了与 baseline 完全相同的 10 张任务和下游结果。这说明当前 CADETS 上，统计特征直接并入主干模型比作为独立分支更容易改变模块2 的筛选边界。</w:t>
      </w:r>
    </w:p>
    <w:p>
      <w:r>
        <w:rPr>
          <w:rFonts w:ascii="Times New Roman" w:hAnsi="Times New Roman" w:eastAsia="黑体"/>
          <w:b/>
          <w:sz w:val="24"/>
        </w:rPr>
        <w:t>4.3 任务切图策略（1.3）</w:t>
      </w:r>
    </w:p>
    <w:p>
      <w:pPr>
        <w:spacing w:line="360" w:lineRule="auto"/>
        <w:ind w:firstLine="420"/>
      </w:pPr>
      <w:r>
        <w:rPr>
          <w:rFonts w:ascii="Times New Roman" w:hAnsi="Times New Roman" w:eastAsia="宋体"/>
          <w:b w:val="0"/>
          <w:sz w:val="24"/>
        </w:rPr>
        <w:t>TRACE 上，fanout&gt;2 且 include segmented 与 baseline 几乎等价，只是任务图数从 1108 上升到 1209；而将阈值提高到 3 会使 predicted-positive 任务从 4 张降为 3 张，其中 exclude 版本的战术召回下降到 0.40。connected 切图则将任务图压缩到仅 14 张，直接导致 confirmed_window_recall 与 strict_tactic_recall_macro 同时归零。</w:t>
      </w:r>
    </w:p>
    <w:p>
      <w:pPr>
        <w:spacing w:line="360" w:lineRule="auto"/>
        <w:ind w:firstLine="420"/>
      </w:pPr>
      <w:r>
        <w:rPr>
          <w:rFonts w:ascii="Times New Roman" w:hAnsi="Times New Roman" w:eastAsia="宋体"/>
          <w:b w:val="0"/>
          <w:sz w:val="24"/>
        </w:rPr>
        <w:t>CADETS 上，切图策略对结果影响更剧烈。fanout&gt;2 include 与 1.1/1.2 的收缩效应一致，仍只留下 6 张 predicted-positive 任务；fanout&gt;3 exclude 进一步降到 3 张任务，并未带来额外收益。connected 切图将任务图降到 136 张，模块2 ROC-AUC 仅 0.2963，下游 confirmed_window_recall 仅 0.25，表明过粗的图划分会破坏恶意子结构的可分性。</w:t>
      </w:r>
    </w:p>
    <w:p>
      <w:r>
        <w:rPr>
          <w:rFonts w:ascii="Times New Roman" w:hAnsi="Times New Roman" w:eastAsia="黑体"/>
          <w:b/>
          <w:sz w:val="24"/>
        </w:rPr>
        <w:t>4.4 失败实验说明</w:t>
      </w:r>
    </w:p>
    <w:p>
      <w:pPr>
        <w:spacing w:line="360" w:lineRule="auto"/>
        <w:ind w:firstLine="420"/>
      </w:pPr>
      <w:r>
        <w:rPr>
          <w:rFonts w:ascii="Times New Roman" w:hAnsi="Times New Roman" w:eastAsia="宋体"/>
          <w:b w:val="0"/>
          <w:sz w:val="24"/>
        </w:rPr>
        <w:t>CADETS 的 fanout&gt;3 且 include segmented 变体在本轮运行中触发 TimeoutError 并被自动移动到 `_failed_` 目录。由于该失败发生在单个实验目录内，baseline 及其他已完成产物未被覆盖。该变体是否值得重试，需要结合其更高的任务生成开销与此前 fanout&gt;3 exclude 已经表现不佳的事实综合判断。</w:t>
      </w:r>
    </w:p>
    <w:p>
      <w:r>
        <w:rPr>
          <w:rFonts w:ascii="Times New Roman" w:hAnsi="Times New Roman" w:eastAsia="黑体"/>
          <w:b/>
          <w:sz w:val="28"/>
        </w:rPr>
        <w:t>5 结论</w:t>
      </w:r>
    </w:p>
    <w:p>
      <w:pPr>
        <w:spacing w:line="360" w:lineRule="auto"/>
        <w:ind w:firstLine="420"/>
      </w:pPr>
      <w:r>
        <w:rPr>
          <w:rFonts w:ascii="Times New Roman" w:hAnsi="Times New Roman" w:eastAsia="宋体"/>
          <w:b w:val="0"/>
          <w:sz w:val="24"/>
        </w:rPr>
        <w:t>综合本轮消融结果，TRACE 的最优折中仍然是当前 baseline：fanout&gt;2、exclude segmented、保留晚期融合接口但不依赖其带来额外收益。CADETS 上，如果优先追求 confirmed 窗口与战术召回，则 baseline 仍是最稳妥的选择；若只追求略低的窗外高风险率，则可以参考 latefusion_off 或 early_concat，但需要接受 predicted-positive 任务数从 10 张降到 6 张，并带来战术召回下降。</w:t>
      </w:r>
    </w:p>
    <w:p>
      <w:pPr>
        <w:spacing w:line="360" w:lineRule="auto"/>
        <w:ind w:firstLine="420"/>
      </w:pPr>
      <w:r>
        <w:rPr>
          <w:rFonts w:ascii="Times New Roman" w:hAnsi="Times New Roman" w:eastAsia="宋体"/>
          <w:b w:val="0"/>
          <w:sz w:val="24"/>
        </w:rPr>
        <w:t>从论文叙述角度看，本轮结果支持一个明确结论：任务切图策略比统计特征组织方式更能决定下游战术检测的上限，而 connected 切图在 TRACE 与 CADETS 上均不适合作为当前方案的候选主线。</w:t>
      </w:r>
    </w:p>
    <w:sectPr w:rsidR="00FC693F" w:rsidRPr="0006063C" w:rsidSect="00034616">
      <w:pgSz w:w="12240" w:h="15840"/>
      <w:pgMar w:top="1440" w:right="1417" w:bottom="1440"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