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Microsoft YaHei" w:hAnsi="Microsoft YaHei"/>
          <w:b/>
          <w:color w:val="1E3A5F"/>
          <w:sz w:val="56"/>
        </w:rPr>
        <w:t>2026 Q1 港区吞吐量分析报告</w:t>
      </w:r>
    </w:p>
    <w:p>
      <w:pPr>
        <w:jc w:val="center"/>
      </w:pPr>
      <w:r>
        <w:rPr>
          <w:color w:val="F0A500"/>
          <w:sz w:val="28"/>
        </w:rPr>
        <w:t>━━━━━━━━━━━━━━━━━━━━━━━━━━━━━━</w:t>
      </w:r>
    </w:p>
    <w:p>
      <w:pPr>
        <w:jc w:val="center"/>
      </w:pPr>
      <w:r>
        <w:rPr>
          <w:color w:val="546E7A"/>
          <w:sz w:val="24"/>
        </w:rPr>
        <w:t>编制：Analytica Test    日期：2026-04-29</w:t>
      </w:r>
    </w:p>
    <w:p>
      <w:r>
        <w:br w:type="page"/>
      </w:r>
    </w:p>
    <w:p>
      <w:pPr>
        <w:pStyle w:val="Heading1"/>
        <w:jc w:val="center"/>
      </w:pPr>
      <w:r>
        <w:t>目  录</w:t>
      </w:r>
    </w:p>
    <w:p>
      <w:r>
        <w:fldChar w:fldCharType="begin"/>
      </w:r>
      <w:instrText>
        <w:t xml:space="preserve"> TOC \o "1-2" \h \z \u </w:t>
      </w:instrText>
      <w:r>
        <w:fldChar w:fldCharType="end"/>
      </w:r>
    </w:p>
    <w:p>
      <w:r>
        <w:rPr>
          <w:i/>
          <w:color w:val="546E7A"/>
          <w:sz w:val="20"/>
        </w:rPr>
        <w:t>（请在 Word 中右键此处，选择"更新域"以生成目录）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5F7FA"/>
          </w:tcPr>
          <w:p>
            <w:pPr>
              <w:jc w:val="center"/>
            </w:pPr>
            <w:r>
              <w:rPr>
                <w:color w:val="546E7A"/>
                <w:sz w:val="18"/>
              </w:rPr>
              <w:t>总吞吐量</w:t>
            </w:r>
          </w:p>
          <w:p>
            <w:pPr>
              <w:jc w:val="center"/>
            </w:pPr>
            <w:r>
              <w:rPr>
                <w:b/>
                <w:color w:val="2E7D32"/>
                <w:sz w:val="36"/>
              </w:rPr>
              <w:t>9500.6 万吨</w:t>
            </w:r>
          </w:p>
          <w:p>
            <w:pPr>
              <w:jc w:val="center"/>
            </w:pPr>
            <w:r>
              <w:rPr>
                <w:color w:val="546E7A"/>
                <w:sz w:val="16"/>
              </w:rPr>
              <w:t>2026 Q1</w:t>
            </w:r>
          </w:p>
        </w:tc>
        <w:tc>
          <w:tcPr>
            <w:tcW w:type="dxa" w:w="2880"/>
            <w:shd w:fill="F5F7FA"/>
          </w:tcPr>
          <w:p>
            <w:pPr>
              <w:jc w:val="center"/>
            </w:pPr>
            <w:r>
              <w:rPr>
                <w:color w:val="546E7A"/>
                <w:sz w:val="18"/>
              </w:rPr>
              <w:t>同比增长</w:t>
            </w:r>
          </w:p>
          <w:p>
            <w:pPr>
              <w:jc w:val="center"/>
            </w:pPr>
            <w:r>
              <w:rPr>
                <w:b/>
                <w:color w:val="2E7D32"/>
                <w:sz w:val="36"/>
              </w:rPr>
              <w:t>12.0%</w:t>
            </w:r>
          </w:p>
          <w:p>
            <w:pPr>
              <w:jc w:val="center"/>
            </w:pPr>
            <w:r>
              <w:rPr>
                <w:color w:val="546E7A"/>
                <w:sz w:val="16"/>
              </w:rPr>
              <w:t>YoY</w:t>
            </w:r>
          </w:p>
        </w:tc>
        <w:tc>
          <w:tcPr>
            <w:tcW w:type="dxa" w:w="2880"/>
            <w:shd w:fill="F5F7FA"/>
          </w:tcPr>
          <w:p>
            <w:pPr>
              <w:jc w:val="center"/>
            </w:pPr>
            <w:r>
              <w:rPr>
                <w:color w:val="546E7A"/>
                <w:sz w:val="18"/>
              </w:rPr>
              <w:t>最高港区</w:t>
            </w:r>
          </w:p>
          <w:p>
            <w:pPr>
              <w:jc w:val="center"/>
            </w:pPr>
            <w:r>
              <w:rPr>
                <w:b/>
                <w:color w:val="1E3A5F"/>
                <w:sz w:val="36"/>
              </w:rPr>
              <w:t>大连港</w:t>
            </w:r>
          </w:p>
          <w:p>
            <w:pPr>
              <w:jc w:val="center"/>
            </w:pPr>
            <w:r>
              <w:rPr>
                <w:color w:val="546E7A"/>
                <w:sz w:val="16"/>
              </w:rPr>
              <w:t>4500.5 万吨</w:t>
            </w:r>
          </w:p>
        </w:tc>
      </w:tr>
    </w:tbl>
    <w:p/>
    <w:p>
      <w:pPr>
        <w:pStyle w:val="Heading1"/>
      </w:pPr>
      <w:r>
        <w:t>一、港区吞吐量现状</w:t>
      </w:r>
    </w:p>
    <w:p>
      <w:pPr>
        <w:pStyle w:val="Heading2"/>
      </w:pPr>
      <w:r>
        <w:t>港区吞吐量</w:t>
      </w:r>
    </w:p>
    <w:p>
      <w:r>
        <w:drawing>
          <wp:inline xmlns:a="http://schemas.openxmlformats.org/drawingml/2006/main" xmlns:pic="http://schemas.openxmlformats.org/drawingml/2006/picture">
            <wp:extent cx="5486400" cy="31616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16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数据明细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22"/>
              </w:rPr>
              <w:t>港区</w:t>
            </w:r>
          </w:p>
        </w:tc>
        <w:tc>
          <w:tcPr>
            <w:tcW w:type="dxa" w:w="4320"/>
            <w:shd w:fill="1E3A5F"/>
          </w:tcPr>
          <w:p>
            <w:r>
              <w:rPr>
                <w:b/>
                <w:color w:val="FFFFFF"/>
                <w:sz w:val="22"/>
              </w:rPr>
              <w:t>吞吐量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大连港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4,500.50</w:t>
            </w:r>
          </w:p>
        </w:tc>
      </w:tr>
      <w:tr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营口港</w:t>
            </w:r>
          </w:p>
        </w:tc>
        <w:tc>
          <w:tcPr>
            <w:tcW w:type="dxa" w:w="4320"/>
            <w:shd w:fill="F5F7FA"/>
          </w:tcPr>
          <w:p>
            <w:r>
              <w:rPr>
                <w:rFonts w:ascii="Calibri" w:hAnsi="Calibri"/>
                <w:sz w:val="20"/>
              </w:rPr>
              <w:t>3,200.10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锦州港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1,800.00</w:t>
            </w:r>
          </w:p>
        </w:tc>
      </w:tr>
    </w:tbl>
    <w:p/>
    <w:p>
      <w:pPr>
        <w:ind w:firstLine="425"/>
      </w:pPr>
      <w:r>
        <w:rPr>
          <w:rFonts w:ascii="Microsoft YaHei" w:hAnsi="Microsoft YaHei"/>
          <w:sz w:val="24"/>
        </w:rPr>
        <w:t>2026 Q1 大连港吞吐量达 4500.5 万吨，同比增长 12%，居三港之首；营口港 3200.1 万吨，锦州港 1800.0 万吨。</w:t>
      </w:r>
    </w:p>
    <w:p>
      <w:pPr>
        <w:pStyle w:val="Heading1"/>
      </w:pPr>
      <w:r>
        <w:t>二、关键指标分析</w:t>
      </w:r>
    </w:p>
    <w:p>
      <w:pPr>
        <w:pStyle w:val="Heading2"/>
      </w:pPr>
      <w:r>
        <w:t>统计数据概览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指标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均值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中位数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标准差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最小值</w:t>
            </w:r>
          </w:p>
        </w:tc>
        <w:tc>
          <w:tcPr>
            <w:tcW w:type="dxa" w:w="1440"/>
            <w:shd w:fill="1E3A5F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最大值</w:t>
            </w:r>
          </w:p>
        </w:tc>
      </w:tr>
      <w:tr>
        <w:tc>
          <w:tcPr>
            <w:tcW w:type="dxa" w:w="1440"/>
          </w:tcPr>
          <w:p>
            <w:r>
              <w:rPr>
                <w:rFonts w:ascii="Microsoft YaHei" w:hAnsi="Microsoft YaHei"/>
                <w:sz w:val="20"/>
              </w:rPr>
              <w:t>throughput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3,166.87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1,800.00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20"/>
              </w:rPr>
              <w:t>4,500.50</w:t>
            </w:r>
          </w:p>
        </w:tc>
      </w:tr>
    </w:tbl>
    <w:p/>
    <w:p>
      <w:pPr>
        <w:pStyle w:val="Heading2"/>
      </w:pPr>
      <w:r>
        <w:t>增长率指标</w:t>
      </w:r>
    </w:p>
    <w:p>
      <w:r>
        <w:rPr>
          <w:b/>
          <w:sz w:val="24"/>
        </w:rPr>
        <w:t>throughput：</w:t>
      </w:r>
      <w:r>
        <w:rPr>
          <w:rFonts w:ascii="Calibri" w:hAnsi="Calibri"/>
          <w:color w:val="2E7D32"/>
          <w:sz w:val="24"/>
        </w:rPr>
        <w:t xml:space="preserve">  同比 ↑12.00%</w:t>
      </w:r>
      <w:r>
        <w:rPr>
          <w:rFonts w:ascii="Calibri" w:hAnsi="Calibri"/>
          <w:color w:val="2E7D32"/>
          <w:sz w:val="24"/>
        </w:rPr>
        <w:t xml:space="preserve">  环比 ↑3.00%</w:t>
      </w:r>
    </w:p>
    <w:p/>
    <w:p>
      <w:pPr>
        <w:pStyle w:val="Heading1"/>
      </w:pPr>
      <w:r>
        <w:t>三、综合结论</w:t>
      </w:r>
    </w:p>
    <w:p>
      <w:pPr>
        <w:ind w:firstLine="425"/>
      </w:pPr>
      <w:r>
        <w:rPr>
          <w:rFonts w:ascii="Microsoft YaHei" w:hAnsi="Microsoft YaHei"/>
          <w:sz w:val="24"/>
        </w:rPr>
        <w:t>三港区集装箱吞吐量整体稳健增长，大连港持续领跑。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instrText>
      <w:t xml:space="preserve"> PAGE </w:t>
    </w:instrText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46E7A"/>
        <w:sz w:val="20"/>
      </w:rPr>
      <w:t>2026 Q1 港区吞吐量分析报告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Microsoft YaHei" w:hAnsi="Microsoft YaHei" w:eastAsia="Microsoft YaHei"/>
      <w:color w:val="546E7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D5F8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