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Microsoft YaHei" w:hAnsi="Microsoft YaHei"/>
          <w:b/>
          <w:color w:val="1E3A5F"/>
          <w:sz w:val="56"/>
        </w:rPr>
        <w:t>2024年港口年度运营分析报告</w:t>
      </w:r>
    </w:p>
    <w:p>
      <w:pPr>
        <w:jc w:val="center"/>
      </w:pPr>
      <w:r>
        <w:rPr>
          <w:color w:val="F0A500"/>
          <w:sz w:val="28"/>
        </w:rPr>
        <w:t>━━━━━━━━━━━━━━━━━━━━━━━━━━━━━━</w:t>
      </w:r>
    </w:p>
    <w:p>
      <w:pPr>
        <w:jc w:val="center"/>
      </w:pPr>
      <w:r>
        <w:rPr>
          <w:color w:val="546E7A"/>
          <w:sz w:val="24"/>
        </w:rPr>
        <w:t>编制：数据分析团队 · Analytica    日期：2024-12-31</w:t>
      </w:r>
    </w:p>
    <w:p>
      <w:r>
        <w:br w:type="page"/>
      </w:r>
    </w:p>
    <w:p>
      <w:pPr>
        <w:pStyle w:val="Heading1"/>
        <w:jc w:val="center"/>
      </w:pPr>
      <w:r>
        <w:t>目  录</w:t>
      </w:r>
    </w:p>
    <w:p>
      <w:r>
        <w:fldChar w:fldCharType="begin"/>
      </w:r>
      <w:instrText>
        <w:t xml:space="preserve"> TOC \o "1-2" \h \z \u </w:t>
      </w:instrText>
      <w:r>
        <w:fldChar w:fldCharType="end"/>
      </w:r>
    </w:p>
    <w:p>
      <w:r>
        <w:rPr>
          <w:i/>
          <w:color w:val="546E7A"/>
          <w:sz w:val="20"/>
        </w:rPr>
        <w:t>（请在 Word 中右键此处，选择"更新域"以生成目录）</w:t>
      </w:r>
    </w:p>
    <w:p>
      <w:r>
        <w:br w:type="page"/>
      </w:r>
    </w:p>
    <w:p>
      <w:pPr>
        <w:pStyle w:val="Heading1"/>
      </w:pPr>
      <w:r>
        <w:t>1. 货物吞吐量综合分析</w:t>
      </w:r>
    </w:p>
    <w:p>
      <w:pPr>
        <w:ind w:firstLine="425"/>
      </w:pPr>
      <w:r>
        <w:rPr>
          <w:rFonts w:ascii="Microsoft YaHei" w:hAnsi="Microsoft YaHei"/>
          <w:sz w:val="24"/>
        </w:rPr>
        <w:t>2024年港口货物吞吐量整体呈稳健增长态势。全年累计完成货物吞吐量14,580万吨，同比增长8.3%，显著高于行业平均水平5.1%。</w:t>
      </w:r>
    </w:p>
    <w:p>
      <w:pPr>
        <w:ind w:firstLine="425"/>
      </w:pPr>
      <w:r>
        <w:rPr>
          <w:rFonts w:ascii="Microsoft YaHei" w:hAnsi="Microsoft YaHei"/>
          <w:sz w:val="24"/>
        </w:rPr>
        <w:t>分季度来看，一季度受春节假期及寒潮天气影响，吞吐量为3,200万吨，环比下降12.5%；二季度随着复工复产全面推进，吞吐量迅速恢复至3,650万吨；三季度在暑期运输旺季拉动下，单月峰值达到1,350万吨（9月），创历史新高；四季度受全球航运市场景气回暖影响，维持在3,800万吨的高位运行。</w:t>
      </w:r>
    </w:p>
    <w:p>
      <w:pPr>
        <w:ind w:firstLine="425"/>
      </w:pPr>
      <w:r>
        <w:rPr>
          <w:rFonts w:ascii="Microsoft YaHei" w:hAnsi="Microsoft YaHei"/>
          <w:sz w:val="24"/>
        </w:rPr>
        <w:t>从货种结构看，集装箱吞吐量增速最为亮眼，累计完成98.5万TEU，同比增长12.1%，主要得益于新航线开辟和腹地经济活跃。散杂货受国际铁矿石价格波动影响，增速相对温和（+3.7%），但仍实现正增长。液体散货因油品进口量增加，同比增长6.8%。</w:t>
      </w:r>
    </w:p>
    <w:p>
      <w:pPr>
        <w:pStyle w:val="Heading2"/>
      </w:pPr>
      <w:r>
        <w:t>统计数据概览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E3A5F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指标</w:t>
            </w:r>
          </w:p>
        </w:tc>
        <w:tc>
          <w:tcPr>
            <w:tcW w:type="dxa" w:w="1440"/>
            <w:shd w:fill="1E3A5F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mean</w:t>
            </w:r>
          </w:p>
        </w:tc>
        <w:tc>
          <w:tcPr>
            <w:tcW w:type="dxa" w:w="1440"/>
            <w:shd w:fill="1E3A5F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median</w:t>
            </w:r>
          </w:p>
        </w:tc>
        <w:tc>
          <w:tcPr>
            <w:tcW w:type="dxa" w:w="1440"/>
            <w:shd w:fill="1E3A5F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std</w:t>
            </w:r>
          </w:p>
        </w:tc>
        <w:tc>
          <w:tcPr>
            <w:tcW w:type="dxa" w:w="1440"/>
            <w:shd w:fill="1E3A5F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min</w:t>
            </w:r>
          </w:p>
        </w:tc>
        <w:tc>
          <w:tcPr>
            <w:tcW w:type="dxa" w:w="1440"/>
            <w:shd w:fill="1E3A5F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max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/>
                <w:sz w:val="20"/>
              </w:rPr>
              <w:t>货物吞吐量(万吨)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1,215.00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1,195.00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145.30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980.00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1,350.00</w:t>
            </w:r>
          </w:p>
        </w:tc>
      </w:tr>
      <w:tr>
        <w:tc>
          <w:tcPr>
            <w:tcW w:type="dxa" w:w="1440"/>
            <w:shd w:fill="F5F7FA"/>
          </w:tcPr>
          <w:p>
            <w:r>
              <w:rPr>
                <w:rFonts w:ascii="Microsoft YaHei" w:hAnsi="Microsoft YaHei"/>
                <w:sz w:val="20"/>
              </w:rPr>
              <w:t>集装箱(万TEU)</w:t>
            </w:r>
          </w:p>
        </w:tc>
        <w:tc>
          <w:tcPr>
            <w:tcW w:type="dxa" w:w="1440"/>
            <w:shd w:fill="F5F7FA"/>
          </w:tcPr>
          <w:p>
            <w:r>
              <w:rPr>
                <w:rFonts w:ascii="Calibri" w:hAnsi="Calibri"/>
                <w:sz w:val="20"/>
              </w:rPr>
              <w:t>8.21</w:t>
            </w:r>
          </w:p>
        </w:tc>
        <w:tc>
          <w:tcPr>
            <w:tcW w:type="dxa" w:w="1440"/>
            <w:shd w:fill="F5F7FA"/>
          </w:tcPr>
          <w:p>
            <w:r>
              <w:rPr>
                <w:rFonts w:ascii="Calibri" w:hAnsi="Calibri"/>
                <w:sz w:val="20"/>
              </w:rPr>
              <w:t>8.05</w:t>
            </w:r>
          </w:p>
        </w:tc>
        <w:tc>
          <w:tcPr>
            <w:tcW w:type="dxa" w:w="1440"/>
            <w:shd w:fill="F5F7FA"/>
          </w:tcPr>
          <w:p>
            <w:r>
              <w:rPr>
                <w:rFonts w:ascii="Calibri" w:hAnsi="Calibri"/>
                <w:sz w:val="20"/>
              </w:rPr>
              <w:t>1.12</w:t>
            </w:r>
          </w:p>
        </w:tc>
        <w:tc>
          <w:tcPr>
            <w:tcW w:type="dxa" w:w="1440"/>
            <w:shd w:fill="F5F7FA"/>
          </w:tcPr>
          <w:p>
            <w:r>
              <w:rPr>
                <w:rFonts w:ascii="Calibri" w:hAnsi="Calibri"/>
                <w:sz w:val="20"/>
              </w:rPr>
              <w:t>6.80</w:t>
            </w:r>
          </w:p>
        </w:tc>
        <w:tc>
          <w:tcPr>
            <w:tcW w:type="dxa" w:w="1440"/>
            <w:shd w:fill="F5F7FA"/>
          </w:tcPr>
          <w:p>
            <w:r>
              <w:rPr>
                <w:rFonts w:ascii="Calibri" w:hAnsi="Calibri"/>
                <w:sz w:val="20"/>
              </w:rPr>
              <w:t>10.20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/>
                <w:sz w:val="20"/>
              </w:rPr>
              <w:t>散杂货(万吨)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420.50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415.00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38.70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365.00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498.00</w:t>
            </w:r>
          </w:p>
        </w:tc>
      </w:tr>
      <w:tr>
        <w:tc>
          <w:tcPr>
            <w:tcW w:type="dxa" w:w="1440"/>
            <w:shd w:fill="F5F7FA"/>
          </w:tcPr>
          <w:p>
            <w:r>
              <w:rPr>
                <w:rFonts w:ascii="Microsoft YaHei" w:hAnsi="Microsoft YaHei"/>
                <w:sz w:val="20"/>
              </w:rPr>
              <w:t>液体散货(万吨)</w:t>
            </w:r>
          </w:p>
        </w:tc>
        <w:tc>
          <w:tcPr>
            <w:tcW w:type="dxa" w:w="1440"/>
            <w:shd w:fill="F5F7FA"/>
          </w:tcPr>
          <w:p>
            <w:r>
              <w:rPr>
                <w:rFonts w:ascii="Calibri" w:hAnsi="Calibri"/>
                <w:sz w:val="20"/>
              </w:rPr>
              <w:t>310.20</w:t>
            </w:r>
          </w:p>
        </w:tc>
        <w:tc>
          <w:tcPr>
            <w:tcW w:type="dxa" w:w="1440"/>
            <w:shd w:fill="F5F7FA"/>
          </w:tcPr>
          <w:p>
            <w:r>
              <w:rPr>
                <w:rFonts w:ascii="Calibri" w:hAnsi="Calibri"/>
                <w:sz w:val="20"/>
              </w:rPr>
              <w:t>305.00</w:t>
            </w:r>
          </w:p>
        </w:tc>
        <w:tc>
          <w:tcPr>
            <w:tcW w:type="dxa" w:w="1440"/>
            <w:shd w:fill="F5F7FA"/>
          </w:tcPr>
          <w:p>
            <w:r>
              <w:rPr>
                <w:rFonts w:ascii="Calibri" w:hAnsi="Calibri"/>
                <w:sz w:val="20"/>
              </w:rPr>
              <w:t>28.40</w:t>
            </w:r>
          </w:p>
        </w:tc>
        <w:tc>
          <w:tcPr>
            <w:tcW w:type="dxa" w:w="1440"/>
            <w:shd w:fill="F5F7FA"/>
          </w:tcPr>
          <w:p>
            <w:r>
              <w:rPr>
                <w:rFonts w:ascii="Calibri" w:hAnsi="Calibri"/>
                <w:sz w:val="20"/>
              </w:rPr>
              <w:t>270.00</w:t>
            </w:r>
          </w:p>
        </w:tc>
        <w:tc>
          <w:tcPr>
            <w:tcW w:type="dxa" w:w="1440"/>
            <w:shd w:fill="F5F7FA"/>
          </w:tcPr>
          <w:p>
            <w:r>
              <w:rPr>
                <w:rFonts w:ascii="Calibri" w:hAnsi="Calibri"/>
                <w:sz w:val="20"/>
              </w:rPr>
              <w:t>368.00</w:t>
            </w:r>
          </w:p>
        </w:tc>
      </w:tr>
    </w:tbl>
    <w:p/>
    <w:p>
      <w:pPr>
        <w:pStyle w:val="Heading2"/>
      </w:pPr>
      <w:r>
        <w:t>增长率指标</w:t>
      </w:r>
    </w:p>
    <w:p>
      <w:r>
        <w:rPr>
          <w:b/>
          <w:sz w:val="24"/>
        </w:rPr>
        <w:t>货物吞吐量(万吨)：</w:t>
      </w:r>
      <w:r>
        <w:rPr>
          <w:rFonts w:ascii="Calibri" w:hAnsi="Calibri"/>
          <w:color w:val="2E7D32"/>
          <w:sz w:val="24"/>
        </w:rPr>
        <w:t xml:space="preserve">  同比 ↑8.30%</w:t>
      </w:r>
      <w:r>
        <w:rPr>
          <w:rFonts w:ascii="Calibri" w:hAnsi="Calibri"/>
          <w:color w:val="2E7D32"/>
          <w:sz w:val="24"/>
        </w:rPr>
        <w:t xml:space="preserve">  环比 ↑2.50%</w:t>
      </w:r>
    </w:p>
    <w:p>
      <w:r>
        <w:rPr>
          <w:b/>
          <w:sz w:val="24"/>
        </w:rPr>
        <w:t>集装箱(万TEU)：</w:t>
      </w:r>
      <w:r>
        <w:rPr>
          <w:rFonts w:ascii="Calibri" w:hAnsi="Calibri"/>
          <w:color w:val="2E7D32"/>
          <w:sz w:val="24"/>
        </w:rPr>
        <w:t xml:space="preserve">  同比 ↑12.10%</w:t>
      </w:r>
      <w:r>
        <w:rPr>
          <w:rFonts w:ascii="Calibri" w:hAnsi="Calibri"/>
          <w:color w:val="2E7D32"/>
          <w:sz w:val="24"/>
        </w:rPr>
        <w:t xml:space="preserve">  环比 ↑3.80%</w:t>
      </w:r>
    </w:p>
    <w:p>
      <w:r>
        <w:rPr>
          <w:b/>
          <w:sz w:val="24"/>
        </w:rPr>
        <w:t>散杂货(万吨)：</w:t>
      </w:r>
      <w:r>
        <w:rPr>
          <w:rFonts w:ascii="Calibri" w:hAnsi="Calibri"/>
          <w:color w:val="2E7D32"/>
          <w:sz w:val="24"/>
        </w:rPr>
        <w:t xml:space="preserve">  同比 ↑3.70%</w:t>
      </w:r>
      <w:r>
        <w:rPr>
          <w:rFonts w:ascii="Calibri" w:hAnsi="Calibri"/>
          <w:color w:val="C62828"/>
          <w:sz w:val="24"/>
        </w:rPr>
        <w:t xml:space="preserve">  环比 ↓1.20%</w:t>
      </w:r>
    </w:p>
    <w:p>
      <w:r>
        <w:rPr>
          <w:b/>
          <w:sz w:val="24"/>
        </w:rPr>
        <w:t>液体散货(万吨)：</w:t>
      </w:r>
      <w:r>
        <w:rPr>
          <w:rFonts w:ascii="Calibri" w:hAnsi="Calibri"/>
          <w:color w:val="2E7D32"/>
          <w:sz w:val="24"/>
        </w:rPr>
        <w:t xml:space="preserve">  同比 ↑6.80%</w:t>
      </w:r>
      <w:r>
        <w:rPr>
          <w:rFonts w:ascii="Calibri" w:hAnsi="Calibri"/>
          <w:color w:val="2E7D32"/>
          <w:sz w:val="24"/>
        </w:rPr>
        <w:t xml:space="preserve">  环比 ↑1.50%</w:t>
      </w:r>
    </w:p>
    <w:p/>
    <w:p>
      <w:pPr>
        <w:pStyle w:val="Heading1"/>
      </w:pPr>
      <w:r>
        <w:t>2. 泊位利用率与运营效率</w:t>
      </w:r>
    </w:p>
    <w:p>
      <w:pPr>
        <w:ind w:firstLine="425"/>
      </w:pPr>
      <w:r>
        <w:rPr>
          <w:rFonts w:ascii="Microsoft YaHei" w:hAnsi="Microsoft YaHei"/>
          <w:sz w:val="24"/>
        </w:rPr>
        <w:t>泊位综合利用率方面，全年平均泊位利用率为72.8%，较上年同期提升3.2个百分点，显示港口资源调配能力持续优化。</w:t>
      </w:r>
    </w:p>
    <w:p>
      <w:pPr>
        <w:ind w:firstLine="425"/>
      </w:pPr>
      <w:r>
        <w:rPr>
          <w:rFonts w:ascii="Microsoft YaHei" w:hAnsi="Microsoft YaHei"/>
          <w:sz w:val="24"/>
        </w:rPr>
        <w:t>各港区表现分化显著：大连港区凭借深水泊位优势和智慧调度系统，利用率高达81.3%，居各港区首位；营口港区因鲅鱼圈港区扩建后产能释放，利用率为73.5%，同比上升5.1个百分点；锦州港区受部分泊位升级改造影响，利用率为62.4%，短期下滑但年末已恢复至68%水平。</w:t>
      </w:r>
    </w:p>
    <w:p>
      <w:pPr>
        <w:ind w:firstLine="425"/>
      </w:pPr>
      <w:r>
        <w:rPr>
          <w:rFonts w:ascii="Microsoft YaHei" w:hAnsi="Microsoft YaHei"/>
          <w:sz w:val="24"/>
        </w:rPr>
        <w:t>值得关注的是，高峰时段（8-10月）泊位利用率峰值达92.1%，已接近国际港口85-95%的拥堵预警线，建议加快泊位智能化改造和船舶调度算法升级。</w:t>
      </w:r>
    </w:p>
    <w:p>
      <w:pPr>
        <w:pStyle w:val="Heading2"/>
      </w:pPr>
      <w:r>
        <w:t>统计数据概览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E3A5F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指标</w:t>
            </w:r>
          </w:p>
        </w:tc>
        <w:tc>
          <w:tcPr>
            <w:tcW w:type="dxa" w:w="1440"/>
            <w:shd w:fill="1E3A5F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mean</w:t>
            </w:r>
          </w:p>
        </w:tc>
        <w:tc>
          <w:tcPr>
            <w:tcW w:type="dxa" w:w="1440"/>
            <w:shd w:fill="1E3A5F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median</w:t>
            </w:r>
          </w:p>
        </w:tc>
        <w:tc>
          <w:tcPr>
            <w:tcW w:type="dxa" w:w="1440"/>
            <w:shd w:fill="1E3A5F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std</w:t>
            </w:r>
          </w:p>
        </w:tc>
        <w:tc>
          <w:tcPr>
            <w:tcW w:type="dxa" w:w="1440"/>
            <w:shd w:fill="1E3A5F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min</w:t>
            </w:r>
          </w:p>
        </w:tc>
        <w:tc>
          <w:tcPr>
            <w:tcW w:type="dxa" w:w="1440"/>
            <w:shd w:fill="1E3A5F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max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/>
                <w:sz w:val="20"/>
              </w:rPr>
              <w:t>大连港区利用率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0.8130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0.8250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0.0650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0.6800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0.9210</w:t>
            </w:r>
          </w:p>
        </w:tc>
      </w:tr>
      <w:tr>
        <w:tc>
          <w:tcPr>
            <w:tcW w:type="dxa" w:w="1440"/>
            <w:shd w:fill="F5F7FA"/>
          </w:tcPr>
          <w:p>
            <w:r>
              <w:rPr>
                <w:rFonts w:ascii="Microsoft YaHei" w:hAnsi="Microsoft YaHei"/>
                <w:sz w:val="20"/>
              </w:rPr>
              <w:t>营口港区利用率</w:t>
            </w:r>
          </w:p>
        </w:tc>
        <w:tc>
          <w:tcPr>
            <w:tcW w:type="dxa" w:w="1440"/>
            <w:shd w:fill="F5F7FA"/>
          </w:tcPr>
          <w:p>
            <w:r>
              <w:rPr>
                <w:rFonts w:ascii="Calibri" w:hAnsi="Calibri"/>
                <w:sz w:val="20"/>
              </w:rPr>
              <w:t>0.7350</w:t>
            </w:r>
          </w:p>
        </w:tc>
        <w:tc>
          <w:tcPr>
            <w:tcW w:type="dxa" w:w="1440"/>
            <w:shd w:fill="F5F7FA"/>
          </w:tcPr>
          <w:p>
            <w:r>
              <w:rPr>
                <w:rFonts w:ascii="Calibri" w:hAnsi="Calibri"/>
                <w:sz w:val="20"/>
              </w:rPr>
              <w:t>0.7420</w:t>
            </w:r>
          </w:p>
        </w:tc>
        <w:tc>
          <w:tcPr>
            <w:tcW w:type="dxa" w:w="1440"/>
            <w:shd w:fill="F5F7FA"/>
          </w:tcPr>
          <w:p>
            <w:r>
              <w:rPr>
                <w:rFonts w:ascii="Calibri" w:hAnsi="Calibri"/>
                <w:sz w:val="20"/>
              </w:rPr>
              <w:t>0.0580</w:t>
            </w:r>
          </w:p>
        </w:tc>
        <w:tc>
          <w:tcPr>
            <w:tcW w:type="dxa" w:w="1440"/>
            <w:shd w:fill="F5F7FA"/>
          </w:tcPr>
          <w:p>
            <w:r>
              <w:rPr>
                <w:rFonts w:ascii="Calibri" w:hAnsi="Calibri"/>
                <w:sz w:val="20"/>
              </w:rPr>
              <w:t>0.6200</w:t>
            </w:r>
          </w:p>
        </w:tc>
        <w:tc>
          <w:tcPr>
            <w:tcW w:type="dxa" w:w="1440"/>
            <w:shd w:fill="F5F7FA"/>
          </w:tcPr>
          <w:p>
            <w:r>
              <w:rPr>
                <w:rFonts w:ascii="Calibri" w:hAnsi="Calibri"/>
                <w:sz w:val="20"/>
              </w:rPr>
              <w:t>0.8450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/>
                <w:sz w:val="20"/>
              </w:rPr>
              <w:t>锦州港区利用率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0.6240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0.6180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0.0720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0.5100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0.7800</w:t>
            </w:r>
          </w:p>
        </w:tc>
      </w:tr>
    </w:tbl>
    <w:p/>
    <w:p>
      <w:pPr>
        <w:pStyle w:val="Heading2"/>
      </w:pPr>
      <w:r>
        <w:t>增长率指标</w:t>
      </w:r>
    </w:p>
    <w:p>
      <w:r>
        <w:rPr>
          <w:b/>
          <w:sz w:val="24"/>
        </w:rPr>
        <w:t>大连港区利用率：</w:t>
      </w:r>
      <w:r>
        <w:rPr>
          <w:rFonts w:ascii="Calibri" w:hAnsi="Calibri"/>
          <w:color w:val="2E7D32"/>
          <w:sz w:val="24"/>
        </w:rPr>
        <w:t xml:space="preserve">  同比 ↑4.10%</w:t>
      </w:r>
      <w:r>
        <w:rPr>
          <w:rFonts w:ascii="Calibri" w:hAnsi="Calibri"/>
          <w:color w:val="2E7D32"/>
          <w:sz w:val="24"/>
        </w:rPr>
        <w:t xml:space="preserve">  环比 ↑1.80%</w:t>
      </w:r>
    </w:p>
    <w:p>
      <w:r>
        <w:rPr>
          <w:b/>
          <w:sz w:val="24"/>
        </w:rPr>
        <w:t>营口港区利用率：</w:t>
      </w:r>
      <w:r>
        <w:rPr>
          <w:rFonts w:ascii="Calibri" w:hAnsi="Calibri"/>
          <w:color w:val="2E7D32"/>
          <w:sz w:val="24"/>
        </w:rPr>
        <w:t xml:space="preserve">  同比 ↑5.10%</w:t>
      </w:r>
      <w:r>
        <w:rPr>
          <w:rFonts w:ascii="Calibri" w:hAnsi="Calibri"/>
          <w:color w:val="C62828"/>
          <w:sz w:val="24"/>
        </w:rPr>
        <w:t xml:space="preserve">  环比 ↓0.80%</w:t>
      </w:r>
    </w:p>
    <w:p>
      <w:r>
        <w:rPr>
          <w:b/>
          <w:sz w:val="24"/>
        </w:rPr>
        <w:t>锦州港区利用率：</w:t>
      </w:r>
      <w:r>
        <w:rPr>
          <w:rFonts w:ascii="Calibri" w:hAnsi="Calibri"/>
          <w:color w:val="C62828"/>
          <w:sz w:val="24"/>
        </w:rPr>
        <w:t xml:space="preserve">  同比 ↓2.30%</w:t>
      </w:r>
      <w:r>
        <w:rPr>
          <w:rFonts w:ascii="Calibri" w:hAnsi="Calibri"/>
          <w:color w:val="2E7D32"/>
          <w:sz w:val="24"/>
        </w:rPr>
        <w:t xml:space="preserve">  环比 ↑3.20%</w:t>
      </w:r>
    </w:p>
    <w:p/>
    <w:p>
      <w:pPr>
        <w:pStyle w:val="Heading1"/>
      </w:pPr>
      <w:r>
        <w:t>3. 月度趋势对比</w:t>
      </w:r>
    </w:p>
    <w:p>
      <w:pPr>
        <w:pStyle w:val="Heading2"/>
      </w:pPr>
      <w:r>
        <w:t>月度货物吞吐量同比对比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D5F8A"/>
          </w:tcPr>
          <w:p>
            <w:r>
              <w:rPr>
                <w:b/>
                <w:color w:val="FFFFFF"/>
                <w:sz w:val="22"/>
              </w:rPr>
              <w:t>类别</w:t>
            </w:r>
          </w:p>
        </w:tc>
        <w:tc>
          <w:tcPr>
            <w:tcW w:type="dxa" w:w="2880"/>
            <w:shd w:fill="2D5F8A"/>
          </w:tcPr>
          <w:p>
            <w:r>
              <w:rPr>
                <w:b/>
                <w:color w:val="FFFFFF"/>
                <w:sz w:val="22"/>
              </w:rPr>
              <w:t>2023年</w:t>
            </w:r>
          </w:p>
        </w:tc>
        <w:tc>
          <w:tcPr>
            <w:tcW w:type="dxa" w:w="2880"/>
            <w:shd w:fill="2D5F8A"/>
          </w:tcPr>
          <w:p>
            <w:r>
              <w:rPr>
                <w:b/>
                <w:color w:val="FFFFFF"/>
                <w:sz w:val="22"/>
              </w:rPr>
              <w:t>2024年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1月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980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1050</w:t>
            </w:r>
          </w:p>
        </w:tc>
      </w:tr>
      <w:tr>
        <w:tc>
          <w:tcPr>
            <w:tcW w:type="dxa" w:w="2880"/>
            <w:shd w:fill="F5F7FA"/>
          </w:tcPr>
          <w:p>
            <w:r>
              <w:rPr>
                <w:rFonts w:ascii="Calibri" w:hAnsi="Calibri"/>
                <w:sz w:val="20"/>
              </w:rPr>
              <w:t>2月</w:t>
            </w:r>
          </w:p>
        </w:tc>
        <w:tc>
          <w:tcPr>
            <w:tcW w:type="dxa" w:w="2880"/>
            <w:shd w:fill="F5F7FA"/>
          </w:tcPr>
          <w:p>
            <w:r>
              <w:rPr>
                <w:rFonts w:ascii="Calibri" w:hAnsi="Calibri"/>
                <w:sz w:val="20"/>
              </w:rPr>
              <w:t>920</w:t>
            </w:r>
          </w:p>
        </w:tc>
        <w:tc>
          <w:tcPr>
            <w:tcW w:type="dxa" w:w="2880"/>
            <w:shd w:fill="F5F7FA"/>
          </w:tcPr>
          <w:p>
            <w:r>
              <w:rPr>
                <w:rFonts w:ascii="Calibri" w:hAnsi="Calibri"/>
                <w:sz w:val="20"/>
              </w:rPr>
              <w:t>980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3月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1050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1130</w:t>
            </w:r>
          </w:p>
        </w:tc>
      </w:tr>
      <w:tr>
        <w:tc>
          <w:tcPr>
            <w:tcW w:type="dxa" w:w="2880"/>
            <w:shd w:fill="F5F7FA"/>
          </w:tcPr>
          <w:p>
            <w:r>
              <w:rPr>
                <w:rFonts w:ascii="Calibri" w:hAnsi="Calibri"/>
                <w:sz w:val="20"/>
              </w:rPr>
              <w:t>4月</w:t>
            </w:r>
          </w:p>
        </w:tc>
        <w:tc>
          <w:tcPr>
            <w:tcW w:type="dxa" w:w="2880"/>
            <w:shd w:fill="F5F7FA"/>
          </w:tcPr>
          <w:p>
            <w:r>
              <w:rPr>
                <w:rFonts w:ascii="Calibri" w:hAnsi="Calibri"/>
                <w:sz w:val="20"/>
              </w:rPr>
              <w:t>1080</w:t>
            </w:r>
          </w:p>
        </w:tc>
        <w:tc>
          <w:tcPr>
            <w:tcW w:type="dxa" w:w="2880"/>
            <w:shd w:fill="F5F7FA"/>
          </w:tcPr>
          <w:p>
            <w:r>
              <w:rPr>
                <w:rFonts w:ascii="Calibri" w:hAnsi="Calibri"/>
                <w:sz w:val="20"/>
              </w:rPr>
              <w:t>1170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5月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1100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1200</w:t>
            </w:r>
          </w:p>
        </w:tc>
      </w:tr>
      <w:tr>
        <w:tc>
          <w:tcPr>
            <w:tcW w:type="dxa" w:w="2880"/>
            <w:shd w:fill="F5F7FA"/>
          </w:tcPr>
          <w:p>
            <w:r>
              <w:rPr>
                <w:rFonts w:ascii="Calibri" w:hAnsi="Calibri"/>
                <w:sz w:val="20"/>
              </w:rPr>
              <w:t>6月</w:t>
            </w:r>
          </w:p>
        </w:tc>
        <w:tc>
          <w:tcPr>
            <w:tcW w:type="dxa" w:w="2880"/>
            <w:shd w:fill="F5F7FA"/>
          </w:tcPr>
          <w:p>
            <w:r>
              <w:rPr>
                <w:rFonts w:ascii="Calibri" w:hAnsi="Calibri"/>
                <w:sz w:val="20"/>
              </w:rPr>
              <w:t>1120</w:t>
            </w:r>
          </w:p>
        </w:tc>
        <w:tc>
          <w:tcPr>
            <w:tcW w:type="dxa" w:w="2880"/>
            <w:shd w:fill="F5F7FA"/>
          </w:tcPr>
          <w:p>
            <w:r>
              <w:rPr>
                <w:rFonts w:ascii="Calibri" w:hAnsi="Calibri"/>
                <w:sz w:val="20"/>
              </w:rPr>
              <w:t>1230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7月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1150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1260</w:t>
            </w:r>
          </w:p>
        </w:tc>
      </w:tr>
      <w:tr>
        <w:tc>
          <w:tcPr>
            <w:tcW w:type="dxa" w:w="2880"/>
            <w:shd w:fill="F5F7FA"/>
          </w:tcPr>
          <w:p>
            <w:r>
              <w:rPr>
                <w:rFonts w:ascii="Calibri" w:hAnsi="Calibri"/>
                <w:sz w:val="20"/>
              </w:rPr>
              <w:t>8月</w:t>
            </w:r>
          </w:p>
        </w:tc>
        <w:tc>
          <w:tcPr>
            <w:tcW w:type="dxa" w:w="2880"/>
            <w:shd w:fill="F5F7FA"/>
          </w:tcPr>
          <w:p>
            <w:r>
              <w:rPr>
                <w:rFonts w:ascii="Calibri" w:hAnsi="Calibri"/>
                <w:sz w:val="20"/>
              </w:rPr>
              <w:t>1200</w:t>
            </w:r>
          </w:p>
        </w:tc>
        <w:tc>
          <w:tcPr>
            <w:tcW w:type="dxa" w:w="2880"/>
            <w:shd w:fill="F5F7FA"/>
          </w:tcPr>
          <w:p>
            <w:r>
              <w:rPr>
                <w:rFonts w:ascii="Calibri" w:hAnsi="Calibri"/>
                <w:sz w:val="20"/>
              </w:rPr>
              <w:t>1300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9月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1250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1350</w:t>
            </w:r>
          </w:p>
        </w:tc>
      </w:tr>
      <w:tr>
        <w:tc>
          <w:tcPr>
            <w:tcW w:type="dxa" w:w="2880"/>
            <w:shd w:fill="F5F7FA"/>
          </w:tcPr>
          <w:p>
            <w:r>
              <w:rPr>
                <w:rFonts w:ascii="Calibri" w:hAnsi="Calibri"/>
                <w:sz w:val="20"/>
              </w:rPr>
              <w:t>10月</w:t>
            </w:r>
          </w:p>
        </w:tc>
        <w:tc>
          <w:tcPr>
            <w:tcW w:type="dxa" w:w="2880"/>
            <w:shd w:fill="F5F7FA"/>
          </w:tcPr>
          <w:p>
            <w:r>
              <w:rPr>
                <w:rFonts w:ascii="Calibri" w:hAnsi="Calibri"/>
                <w:sz w:val="20"/>
              </w:rPr>
              <w:t>1180</w:t>
            </w:r>
          </w:p>
        </w:tc>
        <w:tc>
          <w:tcPr>
            <w:tcW w:type="dxa" w:w="2880"/>
            <w:shd w:fill="F5F7FA"/>
          </w:tcPr>
          <w:p>
            <w:r>
              <w:rPr>
                <w:rFonts w:ascii="Calibri" w:hAnsi="Calibri"/>
                <w:sz w:val="20"/>
              </w:rPr>
              <w:t>1280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11月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1130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1230</w:t>
            </w:r>
          </w:p>
        </w:tc>
      </w:tr>
      <w:tr>
        <w:tc>
          <w:tcPr>
            <w:tcW w:type="dxa" w:w="2880"/>
            <w:shd w:fill="F5F7FA"/>
          </w:tcPr>
          <w:p>
            <w:r>
              <w:rPr>
                <w:rFonts w:ascii="Calibri" w:hAnsi="Calibri"/>
                <w:sz w:val="20"/>
              </w:rPr>
              <w:t>12月</w:t>
            </w:r>
          </w:p>
        </w:tc>
        <w:tc>
          <w:tcPr>
            <w:tcW w:type="dxa" w:w="2880"/>
            <w:shd w:fill="F5F7FA"/>
          </w:tcPr>
          <w:p>
            <w:r>
              <w:rPr>
                <w:rFonts w:ascii="Calibri" w:hAnsi="Calibri"/>
                <w:sz w:val="20"/>
              </w:rPr>
              <w:t>1100</w:t>
            </w:r>
          </w:p>
        </w:tc>
        <w:tc>
          <w:tcPr>
            <w:tcW w:type="dxa" w:w="2880"/>
            <w:shd w:fill="F5F7FA"/>
          </w:tcPr>
          <w:p>
            <w:r>
              <w:rPr>
                <w:rFonts w:ascii="Calibri" w:hAnsi="Calibri"/>
                <w:sz w:val="20"/>
              </w:rPr>
              <w:t>1200</w:t>
            </w:r>
          </w:p>
        </w:tc>
      </w:tr>
    </w:tbl>
    <w:p/>
    <w:p>
      <w:pPr>
        <w:pStyle w:val="Heading2"/>
      </w:pPr>
      <w:r>
        <w:t>各港区泊位利用率月度趋势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D5F8A"/>
          </w:tcPr>
          <w:p>
            <w:r>
              <w:rPr>
                <w:b/>
                <w:color w:val="FFFFFF"/>
                <w:sz w:val="22"/>
              </w:rPr>
              <w:t>类别</w:t>
            </w:r>
          </w:p>
        </w:tc>
        <w:tc>
          <w:tcPr>
            <w:tcW w:type="dxa" w:w="2160"/>
            <w:shd w:fill="2D5F8A"/>
          </w:tcPr>
          <w:p>
            <w:r>
              <w:rPr>
                <w:b/>
                <w:color w:val="FFFFFF"/>
                <w:sz w:val="22"/>
              </w:rPr>
              <w:t>大连港区</w:t>
            </w:r>
          </w:p>
        </w:tc>
        <w:tc>
          <w:tcPr>
            <w:tcW w:type="dxa" w:w="2160"/>
            <w:shd w:fill="2D5F8A"/>
          </w:tcPr>
          <w:p>
            <w:r>
              <w:rPr>
                <w:b/>
                <w:color w:val="FFFFFF"/>
                <w:sz w:val="22"/>
              </w:rPr>
              <w:t>营口港区</w:t>
            </w:r>
          </w:p>
        </w:tc>
        <w:tc>
          <w:tcPr>
            <w:tcW w:type="dxa" w:w="2160"/>
            <w:shd w:fill="2D5F8A"/>
          </w:tcPr>
          <w:p>
            <w:r>
              <w:rPr>
                <w:b/>
                <w:color w:val="FFFFFF"/>
                <w:sz w:val="22"/>
              </w:rPr>
              <w:t>锦州港区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1月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72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65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58</w:t>
            </w:r>
          </w:p>
        </w:tc>
      </w:tr>
      <w:tr>
        <w:tc>
          <w:tcPr>
            <w:tcW w:type="dxa" w:w="2160"/>
            <w:shd w:fill="F5F7FA"/>
          </w:tcPr>
          <w:p>
            <w:r>
              <w:rPr>
                <w:rFonts w:ascii="Calibri" w:hAnsi="Calibri"/>
                <w:sz w:val="20"/>
              </w:rPr>
              <w:t>2月</w:t>
            </w:r>
          </w:p>
        </w:tc>
        <w:tc>
          <w:tcPr>
            <w:tcW w:type="dxa" w:w="2160"/>
            <w:shd w:fill="F5F7FA"/>
          </w:tcPr>
          <w:p>
            <w:r>
              <w:rPr>
                <w:rFonts w:ascii="Calibri" w:hAnsi="Calibri"/>
                <w:sz w:val="20"/>
              </w:rPr>
              <w:t>68</w:t>
            </w:r>
          </w:p>
        </w:tc>
        <w:tc>
          <w:tcPr>
            <w:tcW w:type="dxa" w:w="2160"/>
            <w:shd w:fill="F5F7FA"/>
          </w:tcPr>
          <w:p>
            <w:r>
              <w:rPr>
                <w:rFonts w:ascii="Calibri" w:hAnsi="Calibri"/>
                <w:sz w:val="20"/>
              </w:rPr>
              <w:t>62</w:t>
            </w:r>
          </w:p>
        </w:tc>
        <w:tc>
          <w:tcPr>
            <w:tcW w:type="dxa" w:w="2160"/>
            <w:shd w:fill="F5F7FA"/>
          </w:tcPr>
          <w:p>
            <w:r>
              <w:rPr>
                <w:rFonts w:ascii="Calibri" w:hAnsi="Calibri"/>
                <w:sz w:val="20"/>
              </w:rPr>
              <w:t>51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3月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75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68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55</w:t>
            </w:r>
          </w:p>
        </w:tc>
      </w:tr>
      <w:tr>
        <w:tc>
          <w:tcPr>
            <w:tcW w:type="dxa" w:w="2160"/>
            <w:shd w:fill="F5F7FA"/>
          </w:tcPr>
          <w:p>
            <w:r>
              <w:rPr>
                <w:rFonts w:ascii="Calibri" w:hAnsi="Calibri"/>
                <w:sz w:val="20"/>
              </w:rPr>
              <w:t>4月</w:t>
            </w:r>
          </w:p>
        </w:tc>
        <w:tc>
          <w:tcPr>
            <w:tcW w:type="dxa" w:w="2160"/>
            <w:shd w:fill="F5F7FA"/>
          </w:tcPr>
          <w:p>
            <w:r>
              <w:rPr>
                <w:rFonts w:ascii="Calibri" w:hAnsi="Calibri"/>
                <w:sz w:val="20"/>
              </w:rPr>
              <w:t>78</w:t>
            </w:r>
          </w:p>
        </w:tc>
        <w:tc>
          <w:tcPr>
            <w:tcW w:type="dxa" w:w="2160"/>
            <w:shd w:fill="F5F7FA"/>
          </w:tcPr>
          <w:p>
            <w:r>
              <w:rPr>
                <w:rFonts w:ascii="Calibri" w:hAnsi="Calibri"/>
                <w:sz w:val="20"/>
              </w:rPr>
              <w:t>72</w:t>
            </w:r>
          </w:p>
        </w:tc>
        <w:tc>
          <w:tcPr>
            <w:tcW w:type="dxa" w:w="2160"/>
            <w:shd w:fill="F5F7FA"/>
          </w:tcPr>
          <w:p>
            <w:r>
              <w:rPr>
                <w:rFonts w:ascii="Calibri" w:hAnsi="Calibri"/>
                <w:sz w:val="20"/>
              </w:rPr>
              <w:t>60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5月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80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74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63</w:t>
            </w:r>
          </w:p>
        </w:tc>
      </w:tr>
      <w:tr>
        <w:tc>
          <w:tcPr>
            <w:tcW w:type="dxa" w:w="2160"/>
            <w:shd w:fill="F5F7FA"/>
          </w:tcPr>
          <w:p>
            <w:r>
              <w:rPr>
                <w:rFonts w:ascii="Calibri" w:hAnsi="Calibri"/>
                <w:sz w:val="20"/>
              </w:rPr>
              <w:t>6月</w:t>
            </w:r>
          </w:p>
        </w:tc>
        <w:tc>
          <w:tcPr>
            <w:tcW w:type="dxa" w:w="2160"/>
            <w:shd w:fill="F5F7FA"/>
          </w:tcPr>
          <w:p>
            <w:r>
              <w:rPr>
                <w:rFonts w:ascii="Calibri" w:hAnsi="Calibri"/>
                <w:sz w:val="20"/>
              </w:rPr>
              <w:t>83</w:t>
            </w:r>
          </w:p>
        </w:tc>
        <w:tc>
          <w:tcPr>
            <w:tcW w:type="dxa" w:w="2160"/>
            <w:shd w:fill="F5F7FA"/>
          </w:tcPr>
          <w:p>
            <w:r>
              <w:rPr>
                <w:rFonts w:ascii="Calibri" w:hAnsi="Calibri"/>
                <w:sz w:val="20"/>
              </w:rPr>
              <w:t>76</w:t>
            </w:r>
          </w:p>
        </w:tc>
        <w:tc>
          <w:tcPr>
            <w:tcW w:type="dxa" w:w="2160"/>
            <w:shd w:fill="F5F7FA"/>
          </w:tcPr>
          <w:p>
            <w:r>
              <w:rPr>
                <w:rFonts w:ascii="Calibri" w:hAnsi="Calibri"/>
                <w:sz w:val="20"/>
              </w:rPr>
              <w:t>65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7月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85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78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68</w:t>
            </w:r>
          </w:p>
        </w:tc>
      </w:tr>
      <w:tr>
        <w:tc>
          <w:tcPr>
            <w:tcW w:type="dxa" w:w="2160"/>
            <w:shd w:fill="F5F7FA"/>
          </w:tcPr>
          <w:p>
            <w:r>
              <w:rPr>
                <w:rFonts w:ascii="Calibri" w:hAnsi="Calibri"/>
                <w:sz w:val="20"/>
              </w:rPr>
              <w:t>8月</w:t>
            </w:r>
          </w:p>
        </w:tc>
        <w:tc>
          <w:tcPr>
            <w:tcW w:type="dxa" w:w="2160"/>
            <w:shd w:fill="F5F7FA"/>
          </w:tcPr>
          <w:p>
            <w:r>
              <w:rPr>
                <w:rFonts w:ascii="Calibri" w:hAnsi="Calibri"/>
                <w:sz w:val="20"/>
              </w:rPr>
              <w:t>88</w:t>
            </w:r>
          </w:p>
        </w:tc>
        <w:tc>
          <w:tcPr>
            <w:tcW w:type="dxa" w:w="2160"/>
            <w:shd w:fill="F5F7FA"/>
          </w:tcPr>
          <w:p>
            <w:r>
              <w:rPr>
                <w:rFonts w:ascii="Calibri" w:hAnsi="Calibri"/>
                <w:sz w:val="20"/>
              </w:rPr>
              <w:t>82</w:t>
            </w:r>
          </w:p>
        </w:tc>
        <w:tc>
          <w:tcPr>
            <w:tcW w:type="dxa" w:w="2160"/>
            <w:shd w:fill="F5F7FA"/>
          </w:tcPr>
          <w:p>
            <w:r>
              <w:rPr>
                <w:rFonts w:ascii="Calibri" w:hAnsi="Calibri"/>
                <w:sz w:val="20"/>
              </w:rPr>
              <w:t>72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9月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92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85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78</w:t>
            </w:r>
          </w:p>
        </w:tc>
      </w:tr>
      <w:tr>
        <w:tc>
          <w:tcPr>
            <w:tcW w:type="dxa" w:w="2160"/>
            <w:shd w:fill="F5F7FA"/>
          </w:tcPr>
          <w:p>
            <w:r>
              <w:rPr>
                <w:rFonts w:ascii="Calibri" w:hAnsi="Calibri"/>
                <w:sz w:val="20"/>
              </w:rPr>
              <w:t>10月</w:t>
            </w:r>
          </w:p>
        </w:tc>
        <w:tc>
          <w:tcPr>
            <w:tcW w:type="dxa" w:w="2160"/>
            <w:shd w:fill="F5F7FA"/>
          </w:tcPr>
          <w:p>
            <w:r>
              <w:rPr>
                <w:rFonts w:ascii="Calibri" w:hAnsi="Calibri"/>
                <w:sz w:val="20"/>
              </w:rPr>
              <w:t>86</w:t>
            </w:r>
          </w:p>
        </w:tc>
        <w:tc>
          <w:tcPr>
            <w:tcW w:type="dxa" w:w="2160"/>
            <w:shd w:fill="F5F7FA"/>
          </w:tcPr>
          <w:p>
            <w:r>
              <w:rPr>
                <w:rFonts w:ascii="Calibri" w:hAnsi="Calibri"/>
                <w:sz w:val="20"/>
              </w:rPr>
              <w:t>78</w:t>
            </w:r>
          </w:p>
        </w:tc>
        <w:tc>
          <w:tcPr>
            <w:tcW w:type="dxa" w:w="2160"/>
            <w:shd w:fill="F5F7FA"/>
          </w:tcPr>
          <w:p>
            <w:r>
              <w:rPr>
                <w:rFonts w:ascii="Calibri" w:hAnsi="Calibri"/>
                <w:sz w:val="20"/>
              </w:rPr>
              <w:t>70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11月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82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74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65</w:t>
            </w:r>
          </w:p>
        </w:tc>
      </w:tr>
      <w:tr>
        <w:tc>
          <w:tcPr>
            <w:tcW w:type="dxa" w:w="2160"/>
            <w:shd w:fill="F5F7FA"/>
          </w:tcPr>
          <w:p>
            <w:r>
              <w:rPr>
                <w:rFonts w:ascii="Calibri" w:hAnsi="Calibri"/>
                <w:sz w:val="20"/>
              </w:rPr>
              <w:t>12月</w:t>
            </w:r>
          </w:p>
        </w:tc>
        <w:tc>
          <w:tcPr>
            <w:tcW w:type="dxa" w:w="2160"/>
            <w:shd w:fill="F5F7FA"/>
          </w:tcPr>
          <w:p>
            <w:r>
              <w:rPr>
                <w:rFonts w:ascii="Calibri" w:hAnsi="Calibri"/>
                <w:sz w:val="20"/>
              </w:rPr>
              <w:t>78</w:t>
            </w:r>
          </w:p>
        </w:tc>
        <w:tc>
          <w:tcPr>
            <w:tcW w:type="dxa" w:w="2160"/>
            <w:shd w:fill="F5F7FA"/>
          </w:tcPr>
          <w:p>
            <w:r>
              <w:rPr>
                <w:rFonts w:ascii="Calibri" w:hAnsi="Calibri"/>
                <w:sz w:val="20"/>
              </w:rPr>
              <w:t>70</w:t>
            </w:r>
          </w:p>
        </w:tc>
        <w:tc>
          <w:tcPr>
            <w:tcW w:type="dxa" w:w="2160"/>
            <w:shd w:fill="F5F7FA"/>
          </w:tcPr>
          <w:p>
            <w:r>
              <w:rPr>
                <w:rFonts w:ascii="Calibri" w:hAnsi="Calibri"/>
                <w:sz w:val="20"/>
              </w:rPr>
              <w:t>62</w:t>
            </w:r>
          </w:p>
        </w:tc>
      </w:tr>
    </w:tbl>
    <w:p/>
    <w:p>
      <w:pPr>
        <w:pStyle w:val="Heading1"/>
      </w:pPr>
      <w:r>
        <w:t>4. 原始数据明细</w:t>
      </w:r>
    </w:p>
    <w:p>
      <w:pPr>
        <w:pStyle w:val="Heading2"/>
      </w:pPr>
      <w:r>
        <w:t>数据明细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22"/>
              </w:rPr>
              <w:t>月份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22"/>
              </w:rPr>
              <w:t>货物吞吐量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22"/>
              </w:rPr>
              <w:t>集装箱TEU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  <w:sz w:val="22"/>
              </w:rPr>
              <w:t>泊位利用率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2024-01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1050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6.80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0.7200</w:t>
            </w:r>
          </w:p>
        </w:tc>
      </w:tr>
      <w:tr>
        <w:tc>
          <w:tcPr>
            <w:tcW w:type="dxa" w:w="2160"/>
            <w:shd w:fill="F5F7FA"/>
          </w:tcPr>
          <w:p>
            <w:r>
              <w:rPr>
                <w:rFonts w:ascii="Calibri" w:hAnsi="Calibri"/>
                <w:sz w:val="20"/>
              </w:rPr>
              <w:t>2024-02</w:t>
            </w:r>
          </w:p>
        </w:tc>
        <w:tc>
          <w:tcPr>
            <w:tcW w:type="dxa" w:w="2160"/>
            <w:shd w:fill="F5F7FA"/>
          </w:tcPr>
          <w:p>
            <w:r>
              <w:rPr>
                <w:rFonts w:ascii="Calibri" w:hAnsi="Calibri"/>
                <w:sz w:val="20"/>
              </w:rPr>
              <w:t>980</w:t>
            </w:r>
          </w:p>
        </w:tc>
        <w:tc>
          <w:tcPr>
            <w:tcW w:type="dxa" w:w="2160"/>
            <w:shd w:fill="F5F7FA"/>
          </w:tcPr>
          <w:p>
            <w:r>
              <w:rPr>
                <w:rFonts w:ascii="Calibri" w:hAnsi="Calibri"/>
                <w:sz w:val="20"/>
              </w:rPr>
              <w:t>6.50</w:t>
            </w:r>
          </w:p>
        </w:tc>
        <w:tc>
          <w:tcPr>
            <w:tcW w:type="dxa" w:w="2160"/>
            <w:shd w:fill="F5F7FA"/>
          </w:tcPr>
          <w:p>
            <w:r>
              <w:rPr>
                <w:rFonts w:ascii="Calibri" w:hAnsi="Calibri"/>
                <w:sz w:val="20"/>
              </w:rPr>
              <w:t>0.6800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2024-03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1130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7.20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0.7500</w:t>
            </w:r>
          </w:p>
        </w:tc>
      </w:tr>
      <w:tr>
        <w:tc>
          <w:tcPr>
            <w:tcW w:type="dxa" w:w="2160"/>
            <w:shd w:fill="F5F7FA"/>
          </w:tcPr>
          <w:p>
            <w:r>
              <w:rPr>
                <w:rFonts w:ascii="Calibri" w:hAnsi="Calibri"/>
                <w:sz w:val="20"/>
              </w:rPr>
              <w:t>2024-04</w:t>
            </w:r>
          </w:p>
        </w:tc>
        <w:tc>
          <w:tcPr>
            <w:tcW w:type="dxa" w:w="2160"/>
            <w:shd w:fill="F5F7FA"/>
          </w:tcPr>
          <w:p>
            <w:r>
              <w:rPr>
                <w:rFonts w:ascii="Calibri" w:hAnsi="Calibri"/>
                <w:sz w:val="20"/>
              </w:rPr>
              <w:t>1170</w:t>
            </w:r>
          </w:p>
        </w:tc>
        <w:tc>
          <w:tcPr>
            <w:tcW w:type="dxa" w:w="2160"/>
            <w:shd w:fill="F5F7FA"/>
          </w:tcPr>
          <w:p>
            <w:r>
              <w:rPr>
                <w:rFonts w:ascii="Calibri" w:hAnsi="Calibri"/>
                <w:sz w:val="20"/>
              </w:rPr>
              <w:t>7.80</w:t>
            </w:r>
          </w:p>
        </w:tc>
        <w:tc>
          <w:tcPr>
            <w:tcW w:type="dxa" w:w="2160"/>
            <w:shd w:fill="F5F7FA"/>
          </w:tcPr>
          <w:p>
            <w:r>
              <w:rPr>
                <w:rFonts w:ascii="Calibri" w:hAnsi="Calibri"/>
                <w:sz w:val="20"/>
              </w:rPr>
              <w:t>0.7800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2024-05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1200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8.10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0.8000</w:t>
            </w:r>
          </w:p>
        </w:tc>
      </w:tr>
      <w:tr>
        <w:tc>
          <w:tcPr>
            <w:tcW w:type="dxa" w:w="2160"/>
            <w:shd w:fill="F5F7FA"/>
          </w:tcPr>
          <w:p>
            <w:r>
              <w:rPr>
                <w:rFonts w:ascii="Calibri" w:hAnsi="Calibri"/>
                <w:sz w:val="20"/>
              </w:rPr>
              <w:t>2024-06</w:t>
            </w:r>
          </w:p>
        </w:tc>
        <w:tc>
          <w:tcPr>
            <w:tcW w:type="dxa" w:w="2160"/>
            <w:shd w:fill="F5F7FA"/>
          </w:tcPr>
          <w:p>
            <w:r>
              <w:rPr>
                <w:rFonts w:ascii="Calibri" w:hAnsi="Calibri"/>
                <w:sz w:val="20"/>
              </w:rPr>
              <w:t>1230</w:t>
            </w:r>
          </w:p>
        </w:tc>
        <w:tc>
          <w:tcPr>
            <w:tcW w:type="dxa" w:w="2160"/>
            <w:shd w:fill="F5F7FA"/>
          </w:tcPr>
          <w:p>
            <w:r>
              <w:rPr>
                <w:rFonts w:ascii="Calibri" w:hAnsi="Calibri"/>
                <w:sz w:val="20"/>
              </w:rPr>
              <w:t>8.50</w:t>
            </w:r>
          </w:p>
        </w:tc>
        <w:tc>
          <w:tcPr>
            <w:tcW w:type="dxa" w:w="2160"/>
            <w:shd w:fill="F5F7FA"/>
          </w:tcPr>
          <w:p>
            <w:r>
              <w:rPr>
                <w:rFonts w:ascii="Calibri" w:hAnsi="Calibri"/>
                <w:sz w:val="20"/>
              </w:rPr>
              <w:t>0.8300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2024-07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1260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8.90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0.8500</w:t>
            </w:r>
          </w:p>
        </w:tc>
      </w:tr>
      <w:tr>
        <w:tc>
          <w:tcPr>
            <w:tcW w:type="dxa" w:w="2160"/>
            <w:shd w:fill="F5F7FA"/>
          </w:tcPr>
          <w:p>
            <w:r>
              <w:rPr>
                <w:rFonts w:ascii="Calibri" w:hAnsi="Calibri"/>
                <w:sz w:val="20"/>
              </w:rPr>
              <w:t>2024-08</w:t>
            </w:r>
          </w:p>
        </w:tc>
        <w:tc>
          <w:tcPr>
            <w:tcW w:type="dxa" w:w="2160"/>
            <w:shd w:fill="F5F7FA"/>
          </w:tcPr>
          <w:p>
            <w:r>
              <w:rPr>
                <w:rFonts w:ascii="Calibri" w:hAnsi="Calibri"/>
                <w:sz w:val="20"/>
              </w:rPr>
              <w:t>1300</w:t>
            </w:r>
          </w:p>
        </w:tc>
        <w:tc>
          <w:tcPr>
            <w:tcW w:type="dxa" w:w="2160"/>
            <w:shd w:fill="F5F7FA"/>
          </w:tcPr>
          <w:p>
            <w:r>
              <w:rPr>
                <w:rFonts w:ascii="Calibri" w:hAnsi="Calibri"/>
                <w:sz w:val="20"/>
              </w:rPr>
              <w:t>9.30</w:t>
            </w:r>
          </w:p>
        </w:tc>
        <w:tc>
          <w:tcPr>
            <w:tcW w:type="dxa" w:w="2160"/>
            <w:shd w:fill="F5F7FA"/>
          </w:tcPr>
          <w:p>
            <w:r>
              <w:rPr>
                <w:rFonts w:ascii="Calibri" w:hAnsi="Calibri"/>
                <w:sz w:val="20"/>
              </w:rPr>
              <w:t>0.8800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2024-09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1350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10.20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0.9200</w:t>
            </w:r>
          </w:p>
        </w:tc>
      </w:tr>
      <w:tr>
        <w:tc>
          <w:tcPr>
            <w:tcW w:type="dxa" w:w="2160"/>
            <w:shd w:fill="F5F7FA"/>
          </w:tcPr>
          <w:p>
            <w:r>
              <w:rPr>
                <w:rFonts w:ascii="Calibri" w:hAnsi="Calibri"/>
                <w:sz w:val="20"/>
              </w:rPr>
              <w:t>2024-10</w:t>
            </w:r>
          </w:p>
        </w:tc>
        <w:tc>
          <w:tcPr>
            <w:tcW w:type="dxa" w:w="2160"/>
            <w:shd w:fill="F5F7FA"/>
          </w:tcPr>
          <w:p>
            <w:r>
              <w:rPr>
                <w:rFonts w:ascii="Calibri" w:hAnsi="Calibri"/>
                <w:sz w:val="20"/>
              </w:rPr>
              <w:t>1280</w:t>
            </w:r>
          </w:p>
        </w:tc>
        <w:tc>
          <w:tcPr>
            <w:tcW w:type="dxa" w:w="2160"/>
            <w:shd w:fill="F5F7FA"/>
          </w:tcPr>
          <w:p>
            <w:r>
              <w:rPr>
                <w:rFonts w:ascii="Calibri" w:hAnsi="Calibri"/>
                <w:sz w:val="20"/>
              </w:rPr>
              <w:t>9.50</w:t>
            </w:r>
          </w:p>
        </w:tc>
        <w:tc>
          <w:tcPr>
            <w:tcW w:type="dxa" w:w="2160"/>
            <w:shd w:fill="F5F7FA"/>
          </w:tcPr>
          <w:p>
            <w:r>
              <w:rPr>
                <w:rFonts w:ascii="Calibri" w:hAnsi="Calibri"/>
                <w:sz w:val="20"/>
              </w:rPr>
              <w:t>0.8600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2024-11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1230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8.80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0.8200</w:t>
            </w:r>
          </w:p>
        </w:tc>
      </w:tr>
      <w:tr>
        <w:tc>
          <w:tcPr>
            <w:tcW w:type="dxa" w:w="2160"/>
            <w:shd w:fill="F5F7FA"/>
          </w:tcPr>
          <w:p>
            <w:r>
              <w:rPr>
                <w:rFonts w:ascii="Calibri" w:hAnsi="Calibri"/>
                <w:sz w:val="20"/>
              </w:rPr>
              <w:t>2024-12</w:t>
            </w:r>
          </w:p>
        </w:tc>
        <w:tc>
          <w:tcPr>
            <w:tcW w:type="dxa" w:w="2160"/>
            <w:shd w:fill="F5F7FA"/>
          </w:tcPr>
          <w:p>
            <w:r>
              <w:rPr>
                <w:rFonts w:ascii="Calibri" w:hAnsi="Calibri"/>
                <w:sz w:val="20"/>
              </w:rPr>
              <w:t>1200</w:t>
            </w:r>
          </w:p>
        </w:tc>
        <w:tc>
          <w:tcPr>
            <w:tcW w:type="dxa" w:w="2160"/>
            <w:shd w:fill="F5F7FA"/>
          </w:tcPr>
          <w:p>
            <w:r>
              <w:rPr>
                <w:rFonts w:ascii="Calibri" w:hAnsi="Calibri"/>
                <w:sz w:val="20"/>
              </w:rPr>
              <w:t>8.20</w:t>
            </w:r>
          </w:p>
        </w:tc>
        <w:tc>
          <w:tcPr>
            <w:tcW w:type="dxa" w:w="2160"/>
            <w:shd w:fill="F5F7FA"/>
          </w:tcPr>
          <w:p>
            <w:r>
              <w:rPr>
                <w:rFonts w:ascii="Calibri" w:hAnsi="Calibri"/>
                <w:sz w:val="20"/>
              </w:rPr>
              <w:t>0.7800</w:t>
            </w:r>
          </w:p>
        </w:tc>
      </w:tr>
    </w:tbl>
    <w:p/>
    <w:p>
      <w:pPr>
        <w:pStyle w:val="Heading1"/>
      </w:pPr>
      <w:r>
        <w:t>总结与建议</w:t>
      </w:r>
    </w:p>
    <w:p>
      <w:pPr>
        <w:ind w:firstLine="425"/>
      </w:pPr>
      <w:r>
        <w:rPr>
          <w:sz w:val="24"/>
        </w:rPr>
        <w:t xml:space="preserve">  综合分析表明，2024年港口运营实现量质齐升：货物吞吐量同比增长8.3%，集装箱增速达12.1%，泊位利用率提升3.2个百分点。主要驱动因素包括：（1）新航线开辟带动集装箱业务快速增长；（2）智慧调度系统上线有效提升泊位周转效率；（3）腹地经济持续向好支撑货源稳定增长。建议重点关注：高峰时段泊位利用率已逼近预警线，需加快智能化改造；锦州港区升级改造后的产能释放值得期待；散杂货业务需关注国际大宗商品价格波动风险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instrText>
      <w:t xml:space="preserve"> PAGE </w:t>
    </w:instrText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46E7A"/>
        <w:sz w:val="20"/>
      </w:rPr>
      <w:t>2024年港口年度运营分析报告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Microsoft YaHei" w:hAnsi="Microsoft YaHei" w:eastAsia="Microsoft YaHei"/>
      <w:color w:val="546E7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E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D5F8A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