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0"/>
        <w:shd w:val="clear" w:color="auto" w:fill="AC916B"/>
      </w:pPr>
      <w:r>
        <w:rPr>
          <w:color w:val="AC916B"/>
          <w:sz w:val="16"/>
        </w:rPr>
        <w:t xml:space="preserve"> </w:t>
      </w:r>
    </w:p>
    <w:p/>
    <w:p>
      <w:pPr>
        <w:pStyle w:val="Title"/>
        <w:jc w:val="left"/>
      </w:pPr>
      <w:r>
        <w:rPr>
          <w:rFonts w:ascii="Noto Serif SC" w:hAnsi="Noto Serif SC"/>
          <w:b/>
          <w:color w:val="004889"/>
          <w:sz w:val="64"/>
        </w:rPr>
        <w:t>2026 Q1 港区吞吐量分析报告 (Enhanced)</w:t>
      </w:r>
    </w:p>
    <w:p>
      <w:pPr>
        <w:pStyle w:val="Subtitle"/>
        <w:jc w:val="left"/>
      </w:pPr>
      <w:r>
        <w:rPr>
          <w:rFonts w:ascii="Noto Serif SC" w:hAnsi="Noto Serif SC"/>
          <w:i/>
          <w:color w:val="336EA4"/>
          <w:sz w:val="36"/>
        </w:rPr>
        <w:t>Analytica Test</w:t>
      </w:r>
    </w:p>
    <w:p/>
    <w:p/>
    <w:p>
      <w:pPr>
        <w:jc w:val="left"/>
      </w:pPr>
      <w:r>
        <w:rPr>
          <w:rFonts w:ascii="Noto Sans SC" w:hAnsi="Noto Sans SC"/>
          <w:color w:val="AC916B"/>
          <w:sz w:val="18"/>
          <w:smallCaps w:val="true"/>
        </w:rPr>
        <w:t>日期：2026-04-29</w:t>
      </w:r>
    </w:p>
    <w:p>
      <w:pPr>
        <w:jc w:val="left"/>
      </w:pPr>
      <w:r>
        <w:rPr>
          <w:color w:val="AC916B"/>
          <w:sz w:val="20"/>
        </w:rPr>
        <w:t>■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r>
        <w:fldChar w:fldCharType="begin"/>
      </w:r>
      <w:instrText>
        <w:t xml:space="preserve"> TOC \o "1-2" \h \z \u </w:t>
      </w:instrText>
      <w:r>
        <w:fldChar w:fldCharType="end"/>
      </w:r>
    </w:p>
    <w:p>
      <w:r>
        <w:rPr>
          <w:i/>
          <w:color w:val="9A8E78"/>
          <w:sz w:val="18"/>
        </w:rPr>
        <w:t>（请在 Word 中右键此处，选择"更新域"以生成目录）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BF6EE"/>
          </w:tcPr>
          <w:p>
            <w:pPr>
              <w:jc w:val="center"/>
            </w:pPr>
            <w:r>
              <w:rPr>
                <w:rFonts w:ascii="Noto Sans SC" w:hAnsi="Noto Sans SC"/>
                <w:color w:val="9A8E78"/>
                <w:sz w:val="16"/>
              </w:rPr>
              <w:t>总吞吐量</w:t>
            </w:r>
          </w:p>
          <w:p>
            <w:pPr>
              <w:jc w:val="center"/>
            </w:pPr>
            <w:r>
              <w:rPr>
                <w:rFonts w:ascii="JetBrains Mono" w:hAnsi="JetBrains Mono"/>
                <w:b/>
                <w:color w:val="004889"/>
                <w:sz w:val="56"/>
              </w:rPr>
              <w:t>9500.6 万吨</w:t>
            </w:r>
          </w:p>
          <w:p>
            <w:pPr>
              <w:jc w:val="center"/>
            </w:pPr>
            <w:r>
              <w:rPr>
                <w:rFonts w:ascii="Noto Sans SC" w:hAnsi="Noto Sans SC"/>
                <w:color w:val="9A8E78"/>
                <w:sz w:val="18"/>
              </w:rPr>
              <w:t>2026 Q1</w:t>
            </w:r>
          </w:p>
        </w:tc>
        <w:tc>
          <w:tcPr>
            <w:tcW w:type="dxa" w:w="2160"/>
            <w:shd w:fill="FBF6EE"/>
          </w:tcPr>
          <w:p>
            <w:pPr>
              <w:jc w:val="center"/>
            </w:pPr>
            <w:r>
              <w:rPr>
                <w:rFonts w:ascii="Noto Sans SC" w:hAnsi="Noto Sans SC"/>
                <w:color w:val="9A8E78"/>
                <w:sz w:val="16"/>
              </w:rPr>
              <w:t>同比增长</w:t>
            </w:r>
          </w:p>
          <w:p>
            <w:pPr>
              <w:jc w:val="center"/>
            </w:pPr>
            <w:r>
              <w:rPr>
                <w:rFonts w:ascii="JetBrains Mono" w:hAnsi="JetBrains Mono"/>
                <w:b/>
                <w:color w:val="004889"/>
                <w:sz w:val="56"/>
              </w:rPr>
              <w:t>12.0%</w:t>
            </w:r>
          </w:p>
          <w:p>
            <w:pPr>
              <w:jc w:val="center"/>
            </w:pPr>
            <w:r>
              <w:rPr>
                <w:rFonts w:ascii="Noto Sans SC" w:hAnsi="Noto Sans SC"/>
                <w:color w:val="9A8E78"/>
                <w:sz w:val="18"/>
              </w:rPr>
              <w:t>YoY</w:t>
            </w:r>
          </w:p>
        </w:tc>
        <w:tc>
          <w:tcPr>
            <w:tcW w:type="dxa" w:w="2160"/>
            <w:shd w:fill="FBF6EE"/>
          </w:tcPr>
          <w:p>
            <w:pPr>
              <w:jc w:val="center"/>
            </w:pPr>
            <w:r>
              <w:rPr>
                <w:rFonts w:ascii="Noto Sans SC" w:hAnsi="Noto Sans SC"/>
                <w:color w:val="9A8E78"/>
                <w:sz w:val="16"/>
              </w:rPr>
              <w:t>最高港区</w:t>
            </w:r>
          </w:p>
          <w:p>
            <w:pPr>
              <w:jc w:val="center"/>
            </w:pPr>
            <w:r>
              <w:rPr>
                <w:rFonts w:ascii="JetBrains Mono" w:hAnsi="JetBrains Mono"/>
                <w:b/>
                <w:color w:val="004889"/>
                <w:sz w:val="56"/>
              </w:rPr>
              <w:t>大连港</w:t>
            </w:r>
          </w:p>
          <w:p>
            <w:pPr>
              <w:jc w:val="center"/>
            </w:pPr>
            <w:r>
              <w:rPr>
                <w:rFonts w:ascii="Noto Sans SC" w:hAnsi="Noto Sans SC"/>
                <w:color w:val="9A8E78"/>
                <w:sz w:val="18"/>
              </w:rPr>
              <w:t>4500.5 万吨</w:t>
            </w:r>
          </w:p>
        </w:tc>
        <w:tc>
          <w:tcPr>
            <w:tcW w:type="dxa" w:w="2160"/>
            <w:shd w:fill="FBF6EE"/>
          </w:tcPr>
          <w:p>
            <w:pPr>
              <w:jc w:val="center"/>
            </w:pPr>
            <w:r>
              <w:rPr>
                <w:rFonts w:ascii="Noto Sans SC" w:hAnsi="Noto Sans SC"/>
                <w:color w:val="9A8E78"/>
                <w:sz w:val="16"/>
              </w:rPr>
              <w:t>负增长港</w:t>
            </w:r>
          </w:p>
          <w:p>
            <w:pPr>
              <w:jc w:val="center"/>
            </w:pPr>
            <w:r>
              <w:rPr>
                <w:rFonts w:ascii="JetBrains Mono" w:hAnsi="JetBrains Mono"/>
                <w:b/>
                <w:color w:val="8B4A2B"/>
                <w:sz w:val="56"/>
              </w:rPr>
              <w:t>锦州港</w:t>
            </w:r>
          </w:p>
          <w:p>
            <w:pPr>
              <w:jc w:val="center"/>
            </w:pPr>
            <w:r>
              <w:rPr>
                <w:rFonts w:ascii="Noto Sans SC" w:hAnsi="Noto Sans SC"/>
                <w:color w:val="9A8E78"/>
                <w:sz w:val="18"/>
              </w:rPr>
              <w:t>-3.0%</w:t>
            </w:r>
          </w:p>
        </w:tc>
      </w:tr>
    </w:tbl>
    <w:p/>
    <w:p>
      <w:pPr>
        <w:spacing w:after="0" w:before="320"/>
        <w:ind w:firstLine="0"/>
      </w:pPr>
      <w:r>
        <w:rPr>
          <w:rFonts w:ascii="Noto Serif SC" w:hAnsi="Noto Serif SC"/>
          <w:i/>
          <w:color w:val="AC916B"/>
          <w:sz w:val="72"/>
        </w:rPr>
        <w:t>I</w:t>
      </w:r>
    </w:p>
    <w:p>
      <w:pPr>
        <w:pStyle w:val="Heading1"/>
      </w:pPr>
      <w:r>
        <w:t>一、执行摘要</w:t>
      </w:r>
    </w:p>
    <w:p>
      <w:pPr>
        <w:pStyle w:val="Lede"/>
        <w:spacing w:after="240"/>
        <w:ind w:firstLine="0"/>
        <w:framePr w:dropCap="drop" w:lines="3" w:wrap="around" w:vAnchor="text" w:hAnchor="text"/>
      </w:pPr>
      <w:r>
        <w:rPr>
          <w:rFonts w:ascii="Noto Serif SC" w:hAnsi="Noto Serif SC"/>
          <w:i/>
          <w:color w:val="004889"/>
          <w:sz w:val="72"/>
        </w:rPr>
        <w:t>2026 Q1 三港区合计吞吐量 9500.6 万吨，同比增长 12%。大连港持续领跑，锦州港受天气拖累出现负增长。</w:t>
      </w:r>
    </w:p>
    <w:p>
      <w:pPr>
        <w:spacing w:after="0" w:before="320"/>
        <w:ind w:firstLine="0"/>
      </w:pPr>
      <w:r>
        <w:rPr>
          <w:rFonts w:ascii="Noto Serif SC" w:hAnsi="Noto Serif SC"/>
          <w:i/>
          <w:color w:val="AC916B"/>
          <w:sz w:val="72"/>
        </w:rPr>
        <w:t>II</w:t>
      </w:r>
    </w:p>
    <w:p>
      <w:pPr>
        <w:pStyle w:val="Heading1"/>
      </w:pPr>
      <w:r>
        <w:t>二、现状分析</w:t>
      </w:r>
    </w:p>
    <w:p>
      <w:r>
        <w:drawing>
          <wp:inline xmlns:a="http://schemas.openxmlformats.org/drawingml/2006/main" xmlns:pic="http://schemas.openxmlformats.org/drawingml/2006/picture">
            <wp:extent cx="5486400" cy="3161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6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616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6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增长率指标</w:t>
      </w:r>
    </w:p>
    <w:p>
      <w:r>
        <w:rPr>
          <w:b/>
          <w:sz w:val="22"/>
        </w:rPr>
        <w:t>throughput：</w:t>
      </w:r>
      <w:r>
        <w:rPr>
          <w:rFonts w:ascii="JetBrains Mono" w:hAnsi="JetBrains Mono"/>
          <w:color w:val="004889"/>
          <w:sz w:val="22"/>
        </w:rPr>
        <w:t xml:space="preserve">  同比 ↑12.00%</w:t>
      </w:r>
      <w:r>
        <w:rPr>
          <w:rFonts w:ascii="JetBrains Mono" w:hAnsi="JetBrains Mono"/>
          <w:color w:val="004889"/>
          <w:sz w:val="22"/>
        </w:rPr>
        <w:t xml:space="preserve">  环比 ↑3.00%</w:t>
      </w:r>
    </w:p>
    <w:p>
      <w:r>
        <w:rPr>
          <w:b/>
          <w:sz w:val="22"/>
        </w:rPr>
        <w:t>share：</w:t>
      </w:r>
      <w:r>
        <w:rPr>
          <w:rFonts w:ascii="JetBrains Mono" w:hAnsi="JetBrains Mono"/>
          <w:color w:val="004889"/>
          <w:sz w:val="22"/>
        </w:rPr>
        <w:t xml:space="preserve">  同比 ↑4.00%</w:t>
      </w:r>
      <w:r>
        <w:rPr>
          <w:rFonts w:ascii="JetBrains Mono" w:hAnsi="JetBrains Mono"/>
          <w:color w:val="8B4A2B"/>
          <w:sz w:val="22"/>
        </w:rPr>
        <w:t xml:space="preserve">  环比 ↓1.00%</w:t>
      </w:r>
    </w:p>
    <w:p/>
    <w:p>
      <w:pPr>
        <w:spacing w:before="160" w:after="0"/>
        <w:pBdr>
          <w:top w:val="single" w:sz="2" w:space="4" w:color="1F1A12"/>
        </w:pBdr>
      </w:pPr>
    </w:p>
    <w:p>
      <w:bookmarkStart w:id="1" w:name="_appendix_完整数据"/>
      <w:bookmarkEnd w:id="1"/>
      <w:pPr>
        <w:spacing w:before="240" w:after="160"/>
      </w:pPr>
      <w:r>
        <w:rPr>
          <w:rFonts w:ascii="Noto Sans SC" w:hAnsi="Noto Sans SC"/>
          <w:b/>
          <w:color w:val="336EA4"/>
          <w:sz w:val="28"/>
        </w:rPr>
        <w:t>完整数据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left w:val="nil"/>
              <w:right w:val="nil"/>
              <w:top w:val="single" w:sz="8" w:color="1F1A12"/>
              <w:bottom w:val="single" w:sz="4" w:color="1F1A12"/>
            </w:tcBorders>
          </w:tcPr>
          <w:p>
            <w:pPr>
              <w:jc w:val="left"/>
            </w:pPr>
            <w:r>
              <w:rPr>
                <w:rFonts w:ascii="Noto Sans SC" w:hAnsi="Noto Sans SC"/>
                <w:color w:val="9A8E78"/>
                <w:sz w:val="18"/>
                <w:smallCaps w:val="true"/>
              </w:rPr>
              <w:t>regionName</w:t>
            </w:r>
          </w:p>
        </w:tc>
        <w:tc>
          <w:tcPr>
            <w:tcW w:type="dxa" w:w="2880"/>
            <w:tcBorders>
              <w:left w:val="nil"/>
              <w:right w:val="nil"/>
              <w:top w:val="single" w:sz="8" w:color="1F1A12"/>
              <w:bottom w:val="single" w:sz="4" w:color="1F1A12"/>
            </w:tcBorders>
          </w:tcPr>
          <w:p>
            <w:pPr>
              <w:jc w:val="right"/>
            </w:pPr>
            <w:r>
              <w:rPr>
                <w:rFonts w:ascii="Noto Sans SC" w:hAnsi="Noto Sans SC"/>
                <w:color w:val="9A8E78"/>
                <w:sz w:val="18"/>
                <w:smallCaps w:val="true"/>
              </w:rPr>
              <w:t>throughput</w:t>
            </w:r>
          </w:p>
        </w:tc>
        <w:tc>
          <w:tcPr>
            <w:tcW w:type="dxa" w:w="2880"/>
            <w:tcBorders>
              <w:left w:val="nil"/>
              <w:right w:val="nil"/>
              <w:top w:val="single" w:sz="8" w:color="1F1A12"/>
              <w:bottom w:val="single" w:sz="4" w:color="1F1A12"/>
            </w:tcBorders>
          </w:tcPr>
          <w:p>
            <w:pPr>
              <w:jc w:val="right"/>
            </w:pPr>
            <w:r>
              <w:rPr>
                <w:rFonts w:ascii="Noto Sans SC" w:hAnsi="Noto Sans SC"/>
                <w:color w:val="9A8E78"/>
                <w:sz w:val="18"/>
                <w:smallCaps w:val="true"/>
              </w:rPr>
              <w:t>yoy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Noto Serif SC" w:hAnsi="Noto Serif SC"/>
                <w:sz w:val="20"/>
              </w:rPr>
              <w:t>大连港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JetBrains Mono" w:hAnsi="JetBrains Mono"/>
                <w:sz w:val="20"/>
              </w:rPr>
              <w:t>4,500.50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JetBrains Mono" w:hAnsi="JetBrains Mono"/>
                <w:sz w:val="20"/>
              </w:rPr>
              <w:t>0.1200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Noto Serif SC" w:hAnsi="Noto Serif SC"/>
                <w:sz w:val="20"/>
              </w:rPr>
              <w:t>营口港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JetBrains Mono" w:hAnsi="JetBrains Mono"/>
                <w:sz w:val="20"/>
              </w:rPr>
              <w:t>3,200.10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JetBrains Mono" w:hAnsi="JetBrains Mono"/>
                <w:sz w:val="20"/>
              </w:rPr>
              <w:t>0.0500</w:t>
            </w:r>
          </w:p>
        </w:tc>
      </w:tr>
      <w:tr>
        <w:tc>
          <w:tcPr>
            <w:tcW w:type="dxa" w:w="2880"/>
            <w:tcBorders>
              <w:top w:val="nil"/>
              <w:left w:val="nil"/>
              <w:right w:val="nil"/>
              <w:bottom w:val="single" w:sz="8" w:color="1F1A12"/>
            </w:tcBorders>
          </w:tcPr>
          <w:p>
            <w:pPr>
              <w:jc w:val="left"/>
            </w:pPr>
            <w:r>
              <w:rPr>
                <w:rFonts w:ascii="Noto Serif SC" w:hAnsi="Noto Serif SC"/>
                <w:sz w:val="20"/>
              </w:rPr>
              <w:t>锦州港</w:t>
            </w:r>
          </w:p>
        </w:tc>
        <w:tc>
          <w:tcPr>
            <w:tcW w:type="dxa" w:w="2880"/>
            <w:tcBorders>
              <w:top w:val="nil"/>
              <w:left w:val="nil"/>
              <w:right w:val="nil"/>
              <w:bottom w:val="single" w:sz="8" w:color="1F1A12"/>
            </w:tcBorders>
          </w:tcPr>
          <w:p>
            <w:pPr>
              <w:jc w:val="right"/>
            </w:pPr>
            <w:r>
              <w:rPr>
                <w:rFonts w:ascii="JetBrains Mono" w:hAnsi="JetBrains Mono"/>
                <w:sz w:val="20"/>
              </w:rPr>
              <w:t>1,800.00</w:t>
            </w:r>
          </w:p>
        </w:tc>
        <w:tc>
          <w:tcPr>
            <w:tcW w:type="dxa" w:w="2880"/>
            <w:tcBorders>
              <w:top w:val="nil"/>
              <w:left w:val="nil"/>
              <w:right w:val="nil"/>
              <w:bottom w:val="single" w:sz="8" w:color="1F1A12"/>
            </w:tcBorders>
          </w:tcPr>
          <w:p>
            <w:pPr>
              <w:jc w:val="right"/>
            </w:pPr>
            <w:r>
              <w:rPr>
                <w:rFonts w:ascii="JetBrains Mono" w:hAnsi="JetBrains Mono"/>
                <w:sz w:val="20"/>
              </w:rPr>
              <w:t>-0.0300</w:t>
            </w:r>
          </w:p>
        </w:tc>
      </w:tr>
    </w:tbl>
    <w:p/>
    <w:p>
      <w:pPr>
        <w:spacing w:after="0" w:before="320"/>
        <w:ind w:firstLine="0"/>
      </w:pPr>
      <w:r>
        <w:rPr>
          <w:rFonts w:ascii="Noto Serif SC" w:hAnsi="Noto Serif SC"/>
          <w:i/>
          <w:color w:val="AC916B"/>
          <w:sz w:val="72"/>
        </w:rPr>
        <w:t>III</w:t>
      </w:r>
    </w:p>
    <w:p>
      <w:pPr>
        <w:pStyle w:val="Heading1"/>
      </w:pPr>
      <w:r>
        <w:t>三、归因分析</w:t>
      </w:r>
    </w:p>
    <w:p>
      <w:pPr>
        <w:pStyle w:val="Heading2"/>
      </w:pPr>
      <w:r>
        <w:t>归因贡献度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889"/>
          </w:tcPr>
          <w:p>
            <w:r>
              <w:rPr>
                <w:b/>
                <w:color w:val="FFFEFB"/>
                <w:sz w:val="18"/>
              </w:rPr>
              <w:t>factor</w:t>
            </w:r>
          </w:p>
        </w:tc>
        <w:tc>
          <w:tcPr>
            <w:tcW w:type="dxa" w:w="4320"/>
            <w:shd w:fill="004889"/>
          </w:tcPr>
          <w:p>
            <w:r>
              <w:rPr>
                <w:b/>
                <w:color w:val="FFFEFB"/>
                <w:sz w:val="18"/>
              </w:rPr>
              <w:t>contribution</w:t>
            </w:r>
          </w:p>
        </w:tc>
      </w:tr>
      <w:tr>
        <w:tc>
          <w:tcPr>
            <w:tcW w:type="dxa" w:w="4320"/>
            <w:shd w:fill="AC916B"/>
          </w:tcPr>
          <w:p>
            <w:r>
              <w:rPr>
                <w:rFonts w:ascii="JetBrains Mono" w:hAnsi="JetBrains Mono"/>
                <w:b/>
                <w:color w:val="1F1A12"/>
                <w:sz w:val="20"/>
              </w:rPr>
              <w:t>船舶到港数</w:t>
            </w:r>
          </w:p>
        </w:tc>
        <w:tc>
          <w:tcPr>
            <w:tcW w:type="dxa" w:w="4320"/>
            <w:shd w:fill="8B4A2B"/>
          </w:tcPr>
          <w:p>
            <w:r>
              <w:rPr>
                <w:rFonts w:ascii="JetBrains Mono" w:hAnsi="JetBrains Mono"/>
                <w:b/>
                <w:color w:val="FFFEFB"/>
                <w:sz w:val="20"/>
              </w:rPr>
              <w:t>0.4200</w:t>
            </w:r>
          </w:p>
        </w:tc>
      </w:tr>
      <w:tr>
        <w:tc>
          <w:tcPr>
            <w:tcW w:type="dxa" w:w="4320"/>
            <w:shd w:fill="AC916B"/>
          </w:tcPr>
          <w:p>
            <w:r>
              <w:rPr>
                <w:rFonts w:ascii="JetBrains Mono" w:hAnsi="JetBrains Mono"/>
                <w:b/>
                <w:color w:val="1F1A12"/>
                <w:sz w:val="20"/>
              </w:rPr>
              <w:t>装卸效率</w:t>
            </w:r>
          </w:p>
        </w:tc>
        <w:tc>
          <w:tcPr>
            <w:tcW w:type="dxa" w:w="4320"/>
            <w:shd w:fill="8B4A2B"/>
          </w:tcPr>
          <w:p>
            <w:r>
              <w:rPr>
                <w:rFonts w:ascii="JetBrains Mono" w:hAnsi="JetBrains Mono"/>
                <w:b/>
                <w:color w:val="FFFEFB"/>
                <w:sz w:val="20"/>
              </w:rPr>
              <w:t>0.3100</w:t>
            </w:r>
          </w:p>
        </w:tc>
      </w:tr>
      <w:tr>
        <w:tc>
          <w:tcPr>
            <w:tcW w:type="dxa" w:w="4320"/>
            <w:shd w:fill="AC916B"/>
          </w:tcPr>
          <w:p>
            <w:r>
              <w:rPr>
                <w:rFonts w:ascii="JetBrains Mono" w:hAnsi="JetBrains Mono"/>
                <w:b/>
                <w:color w:val="1F1A12"/>
                <w:sz w:val="20"/>
              </w:rPr>
              <w:t>天气因素</w:t>
            </w:r>
          </w:p>
        </w:tc>
        <w:tc>
          <w:tcPr>
            <w:tcW w:type="dxa" w:w="4320"/>
            <w:shd w:fill="8B4A2B"/>
          </w:tcPr>
          <w:p>
            <w:r>
              <w:rPr>
                <w:rFonts w:ascii="JetBrains Mono" w:hAnsi="JetBrains Mono"/>
                <w:b/>
                <w:color w:val="FFFEFB"/>
                <w:sz w:val="20"/>
              </w:rPr>
              <w:t>-0.0800</w:t>
            </w:r>
          </w:p>
        </w:tc>
      </w:tr>
      <w:tr>
        <w:tc>
          <w:tcPr>
            <w:tcW w:type="dxa" w:w="4320"/>
            <w:shd w:fill="AC916B"/>
          </w:tcPr>
          <w:p>
            <w:r>
              <w:rPr>
                <w:rFonts w:ascii="JetBrains Mono" w:hAnsi="JetBrains Mono"/>
                <w:b/>
                <w:color w:val="1F1A12"/>
                <w:sz w:val="20"/>
              </w:rPr>
              <w:t>其它</w:t>
            </w:r>
          </w:p>
        </w:tc>
        <w:tc>
          <w:tcPr>
            <w:tcW w:type="dxa" w:w="4320"/>
            <w:shd w:fill="8B4A2B"/>
          </w:tcPr>
          <w:p>
            <w:r>
              <w:rPr>
                <w:rFonts w:ascii="JetBrains Mono" w:hAnsi="JetBrains Mono"/>
                <w:b/>
                <w:color w:val="FFFEFB"/>
                <w:sz w:val="20"/>
              </w:rPr>
              <w:t>0.0500</w:t>
            </w:r>
          </w:p>
        </w:tc>
      </w:tr>
    </w:tbl>
    <w:p/>
    <w:p>
      <w:pPr>
        <w:pStyle w:val="Callout"/>
        <w:ind w:firstLine="0"/>
        <w:pBdr>
          <w:left w:val="single" w:sz="24" w:space="6" w:color="C62828"/>
        </w:pBdr>
        <w:shd w:val="clear" w:color="auto" w:fill="FEF1F1"/>
      </w:pPr>
      <w:r>
        <w:rPr>
          <w:rFonts w:ascii="Noto Serif SC" w:hAnsi="Noto Serif SC"/>
          <w:b/>
          <w:color w:val="C62828"/>
          <w:sz w:val="22"/>
        </w:rPr>
        <w:t>⚠ 注意：</w:t>
      </w:r>
      <w:r>
        <w:rPr>
          <w:rFonts w:ascii="Noto Serif SC" w:hAnsi="Noto Serif SC"/>
          <w:color w:val="1F1A12"/>
          <w:sz w:val="22"/>
        </w:rPr>
        <w:t>锦州港 yoy -3% 已连续两个季度走弱，需要警惕设备老化风险。</w:t>
      </w:r>
    </w:p>
    <w:p/>
    <w:p>
      <w:pPr>
        <w:pStyle w:val="Callout"/>
        <w:ind w:firstLine="0"/>
        <w:pBdr>
          <w:left w:val="single" w:sz="24" w:space="6" w:color="1976D2"/>
        </w:pBdr>
        <w:shd w:val="clear" w:color="auto" w:fill="E3F2FD"/>
      </w:pPr>
      <w:r>
        <w:rPr>
          <w:rFonts w:ascii="Noto Serif SC" w:hAnsi="Noto Serif SC"/>
          <w:b/>
          <w:color w:val="1976D2"/>
          <w:sz w:val="22"/>
        </w:rPr>
        <w:t>💡 提示：</w:t>
      </w:r>
      <w:r>
        <w:rPr>
          <w:rFonts w:ascii="Noto Serif SC" w:hAnsi="Noto Serif SC"/>
          <w:color w:val="1F1A12"/>
          <w:sz w:val="22"/>
        </w:rPr>
        <w:t>装卸效率提升对总吞吐贡献 31%，推荐复制至其它港区。</w:t>
      </w:r>
    </w:p>
    <w:p/>
    <w:p>
      <w:pPr>
        <w:spacing w:after="0" w:before="320"/>
        <w:ind w:firstLine="0"/>
      </w:pPr>
      <w:r>
        <w:rPr>
          <w:rFonts w:ascii="Noto Serif SC" w:hAnsi="Noto Serif SC"/>
          <w:i/>
          <w:color w:val="AC916B"/>
          <w:sz w:val="72"/>
        </w:rPr>
        <w:t>IV</w:t>
      </w:r>
    </w:p>
    <w:p>
      <w:pPr>
        <w:pStyle w:val="Heading1"/>
      </w:pPr>
      <w:r>
        <w:t>四、行动建议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889"/>
          </w:tcPr>
          <w:p>
            <w:r>
              <w:rPr>
                <w:b/>
                <w:color w:val="FFFEFB"/>
                <w:sz w:val="18"/>
              </w:rPr>
              <w:t>短期 (Q2)</w:t>
            </w:r>
          </w:p>
        </w:tc>
        <w:tc>
          <w:tcPr>
            <w:tcW w:type="dxa" w:w="2880"/>
            <w:shd w:fill="004889"/>
          </w:tcPr>
          <w:p>
            <w:r>
              <w:rPr>
                <w:b/>
                <w:color w:val="FFFEFB"/>
                <w:sz w:val="18"/>
              </w:rPr>
              <w:t>中期 (H2)</w:t>
            </w:r>
          </w:p>
        </w:tc>
        <w:tc>
          <w:tcPr>
            <w:tcW w:type="dxa" w:w="2880"/>
            <w:shd w:fill="004889"/>
          </w:tcPr>
          <w:p>
            <w:r>
              <w:rPr>
                <w:b/>
                <w:color w:val="FFFEFB"/>
                <w:sz w:val="18"/>
              </w:rPr>
              <w:t>长期 (2027+)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• 锦州港启动设备巡检专项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• 营口港运力扩张 +15%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• 三港区一体化调度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• 复用大连港装卸 SOP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• 天气联动调度系统上线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• 智能设备改造完成</w:t>
            </w:r>
          </w:p>
        </w:tc>
      </w:tr>
    </w:tbl>
    <w:p/>
    <w:p>
      <w:pPr>
        <w:pStyle w:val="Heading2"/>
      </w:pPr>
      <w:r>
        <w:t>统计数据概览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4889"/>
          </w:tcPr>
          <w:p>
            <w:r>
              <w:rPr>
                <w:rFonts w:ascii="JetBrains Mono" w:hAnsi="JetBrains Mono"/>
                <w:b/>
                <w:color w:val="FFFEFB"/>
                <w:sz w:val="18"/>
              </w:rPr>
              <w:t>指标</w:t>
            </w:r>
          </w:p>
        </w:tc>
        <w:tc>
          <w:tcPr>
            <w:tcW w:type="dxa" w:w="1440"/>
            <w:shd w:fill="004889"/>
          </w:tcPr>
          <w:p>
            <w:r>
              <w:rPr>
                <w:rFonts w:ascii="JetBrains Mono" w:hAnsi="JetBrains Mono"/>
                <w:b/>
                <w:color w:val="FFFEFB"/>
                <w:sz w:val="18"/>
              </w:rPr>
              <w:t>均值</w:t>
            </w:r>
          </w:p>
        </w:tc>
        <w:tc>
          <w:tcPr>
            <w:tcW w:type="dxa" w:w="1440"/>
            <w:shd w:fill="004889"/>
          </w:tcPr>
          <w:p>
            <w:r>
              <w:rPr>
                <w:rFonts w:ascii="JetBrains Mono" w:hAnsi="JetBrains Mono"/>
                <w:b/>
                <w:color w:val="FFFEFB"/>
                <w:sz w:val="18"/>
              </w:rPr>
              <w:t>中位数</w:t>
            </w:r>
          </w:p>
        </w:tc>
        <w:tc>
          <w:tcPr>
            <w:tcW w:type="dxa" w:w="1440"/>
            <w:shd w:fill="004889"/>
          </w:tcPr>
          <w:p>
            <w:r>
              <w:rPr>
                <w:rFonts w:ascii="JetBrains Mono" w:hAnsi="JetBrains Mono"/>
                <w:b/>
                <w:color w:val="FFFEFB"/>
                <w:sz w:val="18"/>
              </w:rPr>
              <w:t>标准差</w:t>
            </w:r>
          </w:p>
        </w:tc>
        <w:tc>
          <w:tcPr>
            <w:tcW w:type="dxa" w:w="1440"/>
            <w:shd w:fill="004889"/>
          </w:tcPr>
          <w:p>
            <w:r>
              <w:rPr>
                <w:rFonts w:ascii="JetBrains Mono" w:hAnsi="JetBrains Mono"/>
                <w:b/>
                <w:color w:val="FFFEFB"/>
                <w:sz w:val="18"/>
              </w:rPr>
              <w:t>最小值</w:t>
            </w:r>
          </w:p>
        </w:tc>
        <w:tc>
          <w:tcPr>
            <w:tcW w:type="dxa" w:w="1440"/>
            <w:shd w:fill="004889"/>
          </w:tcPr>
          <w:p>
            <w:r>
              <w:rPr>
                <w:rFonts w:ascii="JetBrains Mono" w:hAnsi="JetBrains Mono"/>
                <w:b/>
                <w:color w:val="FFFEFB"/>
                <w:sz w:val="18"/>
              </w:rPr>
              <w:t>最大值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erif SC" w:hAnsi="Noto Serif SC"/>
                <w:sz w:val="20"/>
              </w:rPr>
              <w:t>throughput</w:t>
            </w:r>
          </w:p>
        </w:tc>
        <w:tc>
          <w:tcPr>
            <w:tcW w:type="dxa" w:w="1440"/>
          </w:tcPr>
          <w:p>
            <w:r>
              <w:rPr>
                <w:rFonts w:ascii="JetBrains Mono" w:hAnsi="JetBrains Mono"/>
                <w:sz w:val="20"/>
              </w:rPr>
              <w:t>3,166.87</w:t>
            </w:r>
          </w:p>
        </w:tc>
        <w:tc>
          <w:tcPr>
            <w:tcW w:type="dxa" w:w="1440"/>
          </w:tcPr>
          <w:p>
            <w:r>
              <w:rPr>
                <w:rFonts w:ascii="JetBrains Mono" w:hAnsi="JetBrains Mono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JetBrains Mono" w:hAnsi="JetBrains Mono"/>
                <w:sz w:val="20"/>
              </w:rPr>
              <w:t>1,102.30</w:t>
            </w:r>
          </w:p>
        </w:tc>
        <w:tc>
          <w:tcPr>
            <w:tcW w:type="dxa" w:w="1440"/>
          </w:tcPr>
          <w:p>
            <w:r>
              <w:rPr>
                <w:rFonts w:ascii="JetBrains Mono" w:hAnsi="JetBrains Mono"/>
                <w:sz w:val="20"/>
              </w:rPr>
              <w:t>1,800.00</w:t>
            </w:r>
          </w:p>
        </w:tc>
        <w:tc>
          <w:tcPr>
            <w:tcW w:type="dxa" w:w="1440"/>
          </w:tcPr>
          <w:p>
            <w:r>
              <w:rPr>
                <w:rFonts w:ascii="JetBrains Mono" w:hAnsi="JetBrains Mono"/>
                <w:sz w:val="20"/>
              </w:rPr>
              <w:t>4,500.50</w:t>
            </w:r>
          </w:p>
        </w:tc>
      </w:tr>
    </w:tbl>
    <w:p/>
    <w:p>
      <w:pPr>
        <w:pStyle w:val="Heading1"/>
      </w:pPr>
      <w:r>
        <w:t>总结与建议</w:t>
      </w:r>
    </w:p>
    <w:p>
      <w:r>
        <w:rPr>
          <w:color w:val="9A8E78"/>
        </w:rPr>
        <w:t>以上分析基于数据，仅供参考。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instrText>
      <w:t xml:space="preserve"> PAGE </w:t>
    </w:instrText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SC" w:hAnsi="Noto Sans SC"/>
        <w:color w:val="AC916B"/>
        <w:sz w:val="16"/>
        <w:smallCaps w:val="true"/>
      </w:rPr>
      <w:t>2026 Q1 港区吞吐量分析报告 (Enhanced)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ind w:firstLine="425"/>
    </w:pPr>
    <w:rPr>
      <w:rFonts w:ascii="Noto Serif SC" w:hAnsi="Noto Serif SC" w:eastAsia="Noto Serif SC"/>
      <w:b w:val="0"/>
      <w:i w:val="0"/>
      <w:color w:val="1F1A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  <w:pBdr>
        <w:top w:val="single" w:sz="8" w:space="4" w:color="004889"/>
      </w:pBdr>
    </w:pPr>
    <w:rPr>
      <w:rFonts w:asciiTheme="majorHAnsi" w:eastAsiaTheme="majorEastAsia" w:hAnsiTheme="majorHAnsi" w:cstheme="majorBidi" w:ascii="Noto Serif SC" w:hAnsi="Noto Serif SC" w:eastAsia="Noto Serif SC"/>
      <w:b/>
      <w:bCs/>
      <w:i w:val="0"/>
      <w:color w:val="1F1A1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Noto Serif SC" w:hAnsi="Noto Serif SC" w:eastAsia="Noto Serif SC"/>
      <w:b/>
      <w:bCs/>
      <w:i w:val="0"/>
      <w:color w:val="1F1A1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Noto Serif SC" w:hAnsi="Noto Serif SC" w:eastAsia="Noto Serif SC"/>
      <w:b/>
      <w:bCs/>
      <w:i w:val="0"/>
      <w:color w:val="1F1A1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left"/>
      <w:pBdr>
        <w:bottom w:val="single" w:sz="8" w:space="4" w:color="004889"/>
      </w:pBdr>
    </w:pPr>
    <w:rPr>
      <w:rFonts w:asciiTheme="majorHAnsi" w:eastAsiaTheme="majorEastAsia" w:hAnsiTheme="majorHAnsi" w:cstheme="majorBidi" w:ascii="Noto Serif SC" w:hAnsi="Noto Serif SC" w:eastAsia="Noto Serif SC"/>
      <w:b/>
      <w:i w:val="0"/>
      <w:color w:val="004889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</w:pPr>
    <w:rPr>
      <w:rFonts w:asciiTheme="majorHAnsi" w:eastAsiaTheme="majorEastAsia" w:hAnsiTheme="majorHAnsi" w:cstheme="majorBidi" w:ascii="Noto Serif SC" w:hAnsi="Noto Serif SC" w:eastAsia="Noto Serif SC"/>
      <w:b w:val="0"/>
      <w:i/>
      <w:iCs/>
      <w:color w:val="336EA4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de">
    <w:name w:val="Lede"/>
    <w:pPr>
      <w:spacing w:after="240" w:before="80"/>
      <w:ind w:firstLine="0"/>
    </w:pPr>
    <w:rPr>
      <w:rFonts w:ascii="Noto Serif SC" w:hAnsi="Noto Serif SC" w:eastAsia="Noto Serif SC"/>
      <w:b w:val="0"/>
      <w:i/>
      <w:color w:val="1F1A12"/>
      <w:sz w:val="28"/>
    </w:rPr>
  </w:style>
  <w:style w:type="paragraph" w:customStyle="1" w:styleId="Narrative">
    <w:name w:val="Narrative"/>
    <w:pPr>
      <w:spacing w:line="360" w:lineRule="auto" w:after="80"/>
      <w:ind w:firstLine="425"/>
    </w:pPr>
    <w:rPr>
      <w:rFonts w:ascii="Noto Serif SC" w:hAnsi="Noto Serif SC" w:eastAsia="Noto Serif SC"/>
      <w:b w:val="0"/>
      <w:i w:val="0"/>
      <w:color w:val="1F1A12"/>
      <w:sz w:val="22"/>
    </w:rPr>
  </w:style>
  <w:style w:type="paragraph" w:customStyle="1" w:styleId="Callout">
    <w:name w:val="Callout"/>
    <w:pPr>
      <w:spacing w:after="160" w:before="80"/>
      <w:ind w:firstLine="0"/>
      <w:pBdr>
        <w:left w:val="single" w:sz="18" w:space="8" w:color="AC916B"/>
      </w:pBdr>
      <w:shd w:val="clear" w:color="auto" w:fill="FBF6EE"/>
    </w:pPr>
    <w:rPr>
      <w:rFonts w:ascii="Noto Serif SC" w:hAnsi="Noto Serif SC" w:eastAsia="Noto Serif SC"/>
      <w:b w:val="0"/>
      <w:i w:val="0"/>
      <w:color w:val="1F1A12"/>
      <w:sz w:val="22"/>
    </w:rPr>
  </w:style>
  <w:style w:type="paragraph" w:customStyle="1" w:styleId="Pullquote">
    <w:name w:val="Pullquote"/>
    <w:pPr>
      <w:spacing w:after="240"/>
      <w:ind w:firstLine="0" w:left="850"/>
      <w:pBdr>
        <w:left w:val="single" w:sz="24" w:space="8" w:color="AC916B"/>
      </w:pBdr>
    </w:pPr>
    <w:rPr>
      <w:rFonts w:ascii="Noto Serif SC" w:hAnsi="Noto Serif SC" w:eastAsia="Noto Serif SC"/>
      <w:b w:val="0"/>
      <w:i/>
      <w:color w:val="1F1A12"/>
      <w:sz w:val="28"/>
    </w:rPr>
  </w:style>
  <w:style w:type="paragraph" w:customStyle="1" w:styleId="Source">
    <w:name w:val="Source"/>
    <w:pPr>
      <w:spacing w:before="120" w:after="80"/>
      <w:ind w:firstLine="0"/>
    </w:pPr>
    <w:rPr>
      <w:rFonts w:ascii="Noto Sans SC" w:hAnsi="Noto Sans SC" w:eastAsia="Noto Sans SC"/>
      <w:b w:val="0"/>
      <w:i/>
      <w:color w:val="9A8E78"/>
      <w:sz w:val="18"/>
    </w:rPr>
  </w:style>
  <w:style w:type="character" w:customStyle="1" w:styleId="Kicker">
    <w:name w:val="Kicker"/>
    <w:rPr>
      <w:rFonts w:ascii="Noto Sans SC" w:hAnsi="Noto Sans SC" w:eastAsia="Noto Sans SC"/>
      <w:b w:val="0"/>
      <w:i w:val="0"/>
      <w:color w:val="004889"/>
      <w:sz w:val="18"/>
      <w:smallCaps w:val="true"/>
    </w:rPr>
  </w:style>
  <w:style w:type="character" w:customStyle="1" w:styleId="KPIValue">
    <w:name w:val="KPIValue"/>
    <w:rPr>
      <w:rFonts w:ascii="JetBrains Mono" w:hAnsi="JetBrains Mono" w:eastAsia="JetBrains Mono"/>
      <w:b w:val="0"/>
      <w:i w:val="0"/>
      <w:color w:val="004889"/>
      <w:sz w:val="56"/>
    </w:rPr>
  </w:style>
  <w:style w:type="character" w:customStyle="1" w:styleId="KPILabel">
    <w:name w:val="KPILabel"/>
    <w:rPr>
      <w:rFonts w:ascii="Noto Sans SC" w:hAnsi="Noto Sans SC" w:eastAsia="Noto Sans SC"/>
      <w:b w:val="0"/>
      <w:i w:val="0"/>
      <w:color w:val="9A8E78"/>
      <w:sz w:val="16"/>
      <w:smallCaps w:val="true"/>
    </w:rPr>
  </w:style>
  <w:style w:type="character" w:customStyle="1" w:styleId="TableHeader">
    <w:name w:val="TableHeader"/>
    <w:rPr>
      <w:rFonts w:ascii="Noto Sans SC" w:hAnsi="Noto Sans SC" w:eastAsia="Noto Sans SC"/>
      <w:b w:val="0"/>
      <w:i w:val="0"/>
      <w:color w:val="9A8E78"/>
      <w:sz w:val="18"/>
    </w:rPr>
  </w:style>
  <w:style w:type="character" w:customStyle="1" w:styleId="TableNum">
    <w:name w:val="TableNum"/>
    <w:rPr>
      <w:rFonts w:ascii="JetBrains Mono" w:hAnsi="JetBrains Mono" w:eastAsia="JetBrains Mono"/>
      <w:b w:val="0"/>
      <w:i w:val="0"/>
      <w:color w:val="1F1A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