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B97C88">
      <w:pPr>
        <w:jc w:val="center"/>
        <w:rPr>
          <w:rFonts w:hint="eastAsia" w:ascii="楷体_GB2312" w:eastAsia="楷体_GB2312"/>
          <w:b/>
          <w:sz w:val="50"/>
          <w:szCs w:val="50"/>
          <w:lang w:eastAsia="zh-CN"/>
        </w:rPr>
      </w:pPr>
      <w:r>
        <w:rPr>
          <w:rFonts w:hint="eastAsia" w:ascii="楷体_GB2312" w:eastAsia="楷体_GB2312"/>
          <w:b/>
          <w:sz w:val="50"/>
          <w:szCs w:val="50"/>
          <w:lang w:eastAsia="zh-CN"/>
        </w:rPr>
        <w:t>四川大学软件学院</w:t>
      </w:r>
    </w:p>
    <w:p w14:paraId="2EEB6D76">
      <w:pPr>
        <w:jc w:val="center"/>
        <w:rPr>
          <w:rFonts w:hint="eastAsia" w:ascii="楷体_GB2312" w:eastAsia="楷体_GB2312"/>
          <w:b/>
          <w:sz w:val="50"/>
          <w:szCs w:val="50"/>
          <w:lang w:eastAsia="zh-CN"/>
        </w:rPr>
      </w:pPr>
      <w:r>
        <w:rPr>
          <w:rFonts w:hint="eastAsia" w:ascii="楷体_GB2312" w:eastAsia="楷体_GB2312"/>
          <w:b/>
          <w:sz w:val="50"/>
          <w:szCs w:val="50"/>
          <w:lang w:eastAsia="zh-CN"/>
        </w:rPr>
        <w:t>2026年夏季实训</w:t>
      </w:r>
    </w:p>
    <w:p w14:paraId="18D30B9B">
      <w:pPr>
        <w:jc w:val="center"/>
        <w:rPr>
          <w:rFonts w:hint="eastAsia" w:eastAsia="楷体_GB2312"/>
          <w:b/>
          <w:sz w:val="52"/>
          <w:szCs w:val="52"/>
          <w:lang w:eastAsia="zh-CN"/>
        </w:rPr>
      </w:pPr>
      <w:r>
        <w:rPr>
          <w:rFonts w:hint="eastAsia" w:ascii="楷体_GB2312" w:eastAsia="楷体_GB2312"/>
          <w:b/>
          <w:sz w:val="50"/>
          <w:szCs w:val="50"/>
          <w:lang w:eastAsia="zh-CN"/>
        </w:rPr>
        <w:t>实习报告</w:t>
      </w:r>
    </w:p>
    <w:p w14:paraId="7370F493">
      <w:pPr>
        <w:rPr>
          <w:rFonts w:hint="eastAsia"/>
          <w:b/>
          <w:lang w:eastAsia="zh-CN"/>
        </w:rPr>
      </w:pPr>
    </w:p>
    <w:p w14:paraId="4F639F3E">
      <w:pPr>
        <w:rPr>
          <w:rFonts w:hint="eastAsia"/>
          <w:b/>
          <w:lang w:eastAsia="zh-CN"/>
        </w:rPr>
      </w:pPr>
    </w:p>
    <w:p w14:paraId="3BE0E078">
      <w:pPr>
        <w:spacing w:before="360"/>
        <w:jc w:val="center"/>
        <w:rPr>
          <w:rFonts w:hint="eastAsia" w:ascii="黑体" w:eastAsia="黑体" w:cs="宋体"/>
          <w:b/>
          <w:bCs/>
          <w:sz w:val="52"/>
          <w:szCs w:val="52"/>
          <w:u w:val="single"/>
          <w:lang w:eastAsia="zh-CN"/>
        </w:rPr>
      </w:pPr>
      <w:r>
        <w:rPr>
          <w:rFonts w:hint="eastAsia" w:ascii="黑体" w:eastAsia="黑体" w:cs="宋体"/>
          <w:bCs/>
          <w:sz w:val="44"/>
          <w:szCs w:val="44"/>
          <w:lang w:val="zh-CN" w:eastAsia="zh-CN"/>
        </w:rPr>
        <w:t>题  目：</w:t>
      </w:r>
      <w:r>
        <w:rPr>
          <w:b/>
          <w:sz w:val="40"/>
          <w:szCs w:val="28"/>
          <w:lang w:eastAsia="zh-CN"/>
        </w:rPr>
        <w:t>智学云考——智能在线学习考试平台</w:t>
      </w:r>
    </w:p>
    <w:p w14:paraId="3D10385B">
      <w:pPr>
        <w:autoSpaceDE w:val="0"/>
        <w:autoSpaceDN w:val="0"/>
        <w:adjustRightInd w:val="0"/>
        <w:ind w:firstLine="440"/>
        <w:rPr>
          <w:rFonts w:hint="eastAsia" w:ascii="黑体" w:eastAsia="黑体" w:cs="宋体"/>
          <w:b/>
          <w:bCs/>
          <w:sz w:val="44"/>
          <w:szCs w:val="44"/>
          <w:u w:val="single"/>
          <w:lang w:val="zh-CN" w:eastAsia="zh-CN"/>
        </w:rPr>
      </w:pPr>
    </w:p>
    <w:p w14:paraId="324ECFF4">
      <w:pPr>
        <w:rPr>
          <w:rFonts w:hint="eastAsia"/>
          <w:b/>
          <w:lang w:eastAsia="zh-CN"/>
        </w:rPr>
      </w:pPr>
    </w:p>
    <w:p w14:paraId="148C95C4">
      <w:pPr>
        <w:rPr>
          <w:rFonts w:hint="eastAsia"/>
          <w:b/>
          <w:lang w:eastAsia="zh-CN"/>
        </w:rPr>
      </w:pPr>
    </w:p>
    <w:p w14:paraId="705A36AC">
      <w:pPr>
        <w:rPr>
          <w:rFonts w:hint="eastAsia"/>
          <w:b/>
          <w:lang w:eastAsia="zh-CN"/>
        </w:rPr>
      </w:pPr>
    </w:p>
    <w:p w14:paraId="4FF066B6">
      <w:pPr>
        <w:rPr>
          <w:rFonts w:hint="eastAsia"/>
          <w:b/>
          <w:lang w:eastAsia="zh-CN"/>
        </w:rPr>
      </w:pPr>
    </w:p>
    <w:p w14:paraId="54A12244">
      <w:pPr>
        <w:rPr>
          <w:rFonts w:hint="eastAsia"/>
          <w:b/>
          <w:lang w:eastAsia="zh-CN"/>
        </w:rPr>
      </w:pPr>
    </w:p>
    <w:tbl>
      <w:tblPr>
        <w:tblStyle w:val="32"/>
        <w:tblW w:w="7071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1"/>
        <w:gridCol w:w="5400"/>
      </w:tblGrid>
      <w:tr w14:paraId="43A8A9C1">
        <w:trPr>
          <w:trHeight w:val="930" w:hRule="atLeast"/>
          <w:jc w:val="center"/>
          <w:tblHeader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44AC75DA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小组名称</w:t>
            </w:r>
          </w:p>
        </w:tc>
        <w:tc>
          <w:tcPr>
            <w:tcW w:w="5400" w:type="dxa"/>
            <w:tcBorders>
              <w:top w:val="nil"/>
            </w:tcBorders>
            <w:vAlign w:val="bottom"/>
          </w:tcPr>
          <w:p w14:paraId="2731FC4C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叶世豪小组</w:t>
            </w:r>
          </w:p>
        </w:tc>
      </w:tr>
      <w:tr w14:paraId="008B7D15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38852928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小组组长</w:t>
            </w:r>
          </w:p>
        </w:tc>
        <w:tc>
          <w:tcPr>
            <w:tcW w:w="5400" w:type="dxa"/>
            <w:vAlign w:val="bottom"/>
          </w:tcPr>
          <w:p w14:paraId="6788A76A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叶世豪</w:t>
            </w:r>
          </w:p>
        </w:tc>
      </w:tr>
      <w:tr w14:paraId="5871AEA4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024A2D81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小组成员</w:t>
            </w:r>
          </w:p>
        </w:tc>
        <w:tc>
          <w:tcPr>
            <w:tcW w:w="5400" w:type="dxa"/>
            <w:vAlign w:val="bottom"/>
          </w:tcPr>
          <w:p w14:paraId="72C05B0B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叶世豪、黄浩、贺治中、罗逸欢</w:t>
            </w:r>
          </w:p>
        </w:tc>
      </w:tr>
      <w:tr w14:paraId="2961D642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1C459BA1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指导教师</w:t>
            </w:r>
          </w:p>
        </w:tc>
        <w:tc>
          <w:tcPr>
            <w:tcW w:w="5400" w:type="dxa"/>
            <w:vAlign w:val="bottom"/>
          </w:tcPr>
          <w:p w14:paraId="35701EFE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李广</w:t>
            </w:r>
          </w:p>
        </w:tc>
      </w:tr>
      <w:tr w14:paraId="0205A4CC">
        <w:trPr>
          <w:trHeight w:val="930" w:hRule="atLeast"/>
          <w:jc w:val="center"/>
        </w:trPr>
        <w:tc>
          <w:tcPr>
            <w:tcW w:w="1671" w:type="dxa"/>
            <w:tcBorders>
              <w:top w:val="nil"/>
              <w:bottom w:val="nil"/>
            </w:tcBorders>
            <w:vAlign w:val="bottom"/>
          </w:tcPr>
          <w:p w14:paraId="29656F9B">
            <w:pPr>
              <w:tabs>
                <w:tab w:val="left" w:pos="2055"/>
              </w:tabs>
              <w:rPr>
                <w:rFonts w:hint="eastAsia"/>
                <w:b/>
                <w:sz w:val="32"/>
                <w:szCs w:val="32"/>
              </w:rPr>
            </w:pPr>
            <w:r>
              <w:rPr>
                <w:rFonts w:hint="eastAsia"/>
                <w:b/>
                <w:sz w:val="32"/>
                <w:szCs w:val="32"/>
              </w:rPr>
              <w:t>实践日期</w:t>
            </w:r>
          </w:p>
        </w:tc>
        <w:tc>
          <w:tcPr>
            <w:tcW w:w="5400" w:type="dxa"/>
            <w:vAlign w:val="bottom"/>
          </w:tcPr>
          <w:p w14:paraId="337747AE">
            <w:pPr>
              <w:tabs>
                <w:tab w:val="left" w:pos="2055"/>
              </w:tabs>
              <w:jc w:val="center"/>
              <w:rPr>
                <w:rFonts w:hint="eastAsia"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202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6</w:t>
            </w:r>
            <w:r>
              <w:rPr>
                <w:rFonts w:hint="eastAsia" w:ascii="宋体" w:hAnsi="宋体"/>
                <w:sz w:val="30"/>
                <w:szCs w:val="30"/>
              </w:rPr>
              <w:t>年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7</w:t>
            </w:r>
            <w:r>
              <w:rPr>
                <w:rFonts w:hint="eastAsia" w:ascii="宋体" w:hAnsi="宋体"/>
                <w:sz w:val="30"/>
                <w:szCs w:val="30"/>
              </w:rPr>
              <w:t>月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20</w:t>
            </w:r>
            <w:r>
              <w:rPr>
                <w:rFonts w:hint="eastAsia" w:ascii="宋体" w:hAnsi="宋体"/>
                <w:sz w:val="30"/>
                <w:szCs w:val="30"/>
              </w:rPr>
              <w:t>日-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7</w:t>
            </w:r>
            <w:r>
              <w:rPr>
                <w:rFonts w:hint="eastAsia" w:ascii="宋体" w:hAnsi="宋体"/>
                <w:sz w:val="30"/>
                <w:szCs w:val="30"/>
              </w:rPr>
              <w:t>月</w:t>
            </w:r>
            <w:r>
              <w:rPr>
                <w:rFonts w:hint="eastAsia" w:ascii="宋体" w:hAnsi="宋体"/>
                <w:sz w:val="30"/>
                <w:szCs w:val="30"/>
                <w:lang w:eastAsia="zh-CN"/>
              </w:rPr>
              <w:t>29</w:t>
            </w:r>
            <w:r>
              <w:rPr>
                <w:rFonts w:hint="eastAsia" w:ascii="宋体" w:hAnsi="宋体"/>
                <w:sz w:val="30"/>
                <w:szCs w:val="30"/>
              </w:rPr>
              <w:t>日</w:t>
            </w:r>
          </w:p>
        </w:tc>
      </w:tr>
    </w:tbl>
    <w:p w14:paraId="2D8FDDA2">
      <w:pPr>
        <w:rPr>
          <w:rFonts w:hint="eastAsia" w:ascii="华文仿宋" w:hAnsi="华文仿宋" w:eastAsia="华文仿宋" w:cs="华文仿宋"/>
          <w:b/>
        </w:rPr>
      </w:pPr>
    </w:p>
    <w:p w14:paraId="03365A30">
      <w:pPr>
        <w:spacing w:before="400" w:after="480"/>
        <w:jc w:val="center"/>
        <w:rPr>
          <w:rFonts w:hint="eastAsia" w:eastAsia="Heiti SC"/>
          <w:b/>
          <w:sz w:val="40"/>
        </w:rPr>
        <w:sectPr>
          <w:footerReference r:id="rId5" w:type="default"/>
          <w:pgSz w:w="11906" w:h="16838"/>
          <w:pgMar w:top="1417" w:right="1417" w:bottom="1247" w:left="1587" w:header="850" w:footer="680" w:gutter="0"/>
          <w:cols w:space="720" w:num="1"/>
          <w:titlePg/>
          <w:docGrid w:linePitch="360" w:charSpace="0"/>
        </w:sectPr>
      </w:pPr>
    </w:p>
    <w:p w14:paraId="572E8EBF">
      <w:pPr>
        <w:spacing w:before="400" w:after="480"/>
        <w:jc w:val="center"/>
        <w:rPr>
          <w:rFonts w:hint="eastAsia"/>
        </w:rPr>
      </w:pPr>
      <w:r>
        <w:rPr>
          <w:rFonts w:eastAsia="Heiti SC"/>
          <w:b/>
          <w:sz w:val="40"/>
        </w:rPr>
        <w:t>目  录</w:t>
      </w:r>
    </w:p>
    <w:p w14:paraId="30270EC8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t>一、项目介绍</w:t>
        <w:tab/>
        <w:t>1</w:t>
      </w:r>
    </w:p>
    <w:p w14:paraId="656ECD85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t>二、需求分析</w:t>
        <w:tab/>
        <w:t>4</w:t>
      </w:r>
    </w:p>
    <w:p w14:paraId="66CF505D">
      <w:pPr>
        <w:tabs>
          <w:tab w:val="left" w:pos="8107"/>
        </w:tabs>
        <w:spacing w:after="140"/>
        <w:ind w:left="227" w:right="227"/>
        <w:rPr>
          <w:rFonts w:hint="eastAsia"/>
        </w:rPr>
      </w:pPr>
      <w:r>
        <w:t>三、概要设计</w:t>
        <w:tab/>
        <w:t>8</w:t>
      </w:r>
    </w:p>
    <w:p w14:paraId="3A4AF2F3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t>四、详细设计</w:t>
        <w:tab/>
        <w:t>14</w:t>
      </w:r>
    </w:p>
    <w:p w14:paraId="68573515">
      <w:pPr>
        <w:tabs>
          <w:tab w:val="left" w:pos="8107"/>
        </w:tabs>
        <w:spacing w:after="140"/>
        <w:ind w:left="624" w:right="227"/>
        <w:rPr>
          <w:rFonts w:hint="eastAsia"/>
          <w:lang w:eastAsia="zh-CN"/>
        </w:rPr>
      </w:pPr>
      <w:r>
        <w:t>1、账户、Redis与学习资料</w:t>
        <w:tab/>
        <w:t>14</w:t>
      </w:r>
    </w:p>
    <w:p w14:paraId="749C5A8A">
      <w:pPr>
        <w:tabs>
          <w:tab w:val="left" w:pos="8107"/>
        </w:tabs>
        <w:spacing w:after="140"/>
        <w:ind w:left="624" w:right="227"/>
        <w:rPr>
          <w:rFonts w:hint="eastAsia"/>
          <w:lang w:eastAsia="zh-CN"/>
        </w:rPr>
      </w:pPr>
      <w:r>
        <w:t>2、考试、商城与AI</w:t>
        <w:tab/>
        <w:t>23</w:t>
      </w:r>
    </w:p>
    <w:p w14:paraId="2D4A6043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t>五、系统页面展示</w:t>
        <w:tab/>
        <w:t>35</w:t>
      </w:r>
    </w:p>
    <w:p w14:paraId="195BB532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t>六、测试结果</w:t>
        <w:tab/>
        <w:t>39</w:t>
      </w:r>
    </w:p>
    <w:p w14:paraId="6E43043F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t>七、项目总结</w:t>
        <w:tab/>
        <w:t>44</w:t>
      </w:r>
    </w:p>
    <w:p w14:paraId="1C06D0DC">
      <w:pPr>
        <w:tabs>
          <w:tab w:val="left" w:pos="8107"/>
        </w:tabs>
        <w:spacing w:after="140"/>
        <w:ind w:left="227" w:right="227"/>
        <w:rPr>
          <w:rFonts w:hint="eastAsia"/>
          <w:lang w:eastAsia="zh-CN"/>
        </w:rPr>
      </w:pPr>
      <w:r>
        <w:t>附录</w:t>
        <w:tab/>
        <w:t>45</w:t>
      </w:r>
    </w:p>
    <w:p w14:paraId="4C875805">
      <w:pPr>
        <w:tabs>
          <w:tab w:val="left" w:pos="8107"/>
        </w:tabs>
        <w:spacing w:after="160"/>
        <w:ind w:left="227" w:right="227"/>
        <w:rPr>
          <w:rFonts w:hint="eastAsia"/>
          <w:lang w:eastAsia="zh-CN"/>
        </w:rPr>
      </w:pPr>
    </w:p>
    <w:p w14:paraId="7F489852">
      <w:pPr>
        <w:pStyle w:val="166"/>
        <w:rPr>
          <w:rFonts w:hint="eastAsia" w:ascii="Songti SC" w:hAnsi="Songti SC" w:eastAsia="Heiti SC"/>
          <w:lang w:eastAsia="zh-CN"/>
        </w:rPr>
        <w:sectPr>
          <w:footerReference r:id="rId7" w:type="first"/>
          <w:footerReference r:id="rId6" w:type="default"/>
          <w:pgSz w:w="11906" w:h="16838"/>
          <w:pgMar w:top="1417" w:right="1417" w:bottom="1247" w:left="1587" w:header="850" w:footer="680" w:gutter="0"/>
          <w:pgNumType w:start="1"/>
          <w:cols w:space="720" w:num="1"/>
          <w:titlePg/>
          <w:docGrid w:linePitch="360" w:charSpace="0"/>
        </w:sectPr>
      </w:pPr>
    </w:p>
    <w:p w14:paraId="133D8DB4">
      <w:pPr>
        <w:pStyle w:val="166"/>
        <w:keepNext/>
      </w:pPr>
      <w:r>
        <w:rPr>
          <w:rFonts w:ascii="Times New Roman" w:hAnsi="Times New Roman" w:eastAsia="Heiti SC"/>
          <w:b/>
          <w:sz w:val="32"/>
        </w:rPr>
        <w:t>一、项目介绍</w:t>
      </w:r>
    </w:p>
    <w:p w14:paraId="3AF50BEB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1、项目背景与目标</w:t>
      </w:r>
    </w:p>
    <w:p w14:paraId="648845D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智学云考是一个面向高校学习和考试场景的Web平台。项目把学习资料、在线考试、成绩分析、AI学习辅助和后台管理放在同一套系统中，让学习、练习、考试和复习能够连成完整流程。</w:t>
      </w:r>
    </w:p>
    <w:p w14:paraId="4AE9B53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本次实训的主要目标不是追求复杂的新技术，而是把真实业务流程做完整。系统需要能够注册登录、发布和审核资料、组织考试、保存答案、自动或人工评分、查看成绩，并处理商品权益和AI使用次数。</w:t>
      </w:r>
    </w:p>
    <w:p w14:paraId="4B40572E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传统的学习资料、考试通知和成绩反馈往往分散在不同工具中，学生需要反复切换，发布者也难以统一管理。项目因此把资料、班级、考试和复习放在一个账号体系下，减少重复录入，并让学习记录能够在后续分析中继续使用。</w:t>
      </w:r>
    </w:p>
    <w:p w14:paraId="78EE958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项目定位为可运行的教学实训MVP。支付采用模拟支付，不产生真实资金交易；AI既支持本地Mock，也预留DeepSeek接口。这样的范围既能完整演示业务，又避免在实训阶段引入真实支付资质和外部服务不稳定等问题。</w:t>
      </w:r>
    </w:p>
    <w:p>
      <w:pPr>
        <w:pStyle w:val="164"/>
      </w:pPr>
      <w:r>
        <w:rPr>
          <w:rFonts w:ascii="宋体" w:hAnsi="宋体" w:eastAsia="宋体"/>
          <w:sz w:val="24"/>
        </w:rPr>
        <w:t>随着资料访问、在线答题和AI调用逐渐增多，项目最后阶段又补充了Redis高并发能力。改造重点不是把业务数据搬到缓存，而是让多个后端实例共享限流、短期认证状态、浏览量增量和考试截止索引，减少热点数据库访问，同时保留MySQL兜底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73D63C58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542C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1"/>
              </w:rPr>
              <w:t>项目目标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D38D7F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1"/>
              </w:rPr>
              <w:t>具体内容</w:t>
            </w:r>
          </w:p>
        </w:tc>
      </w:tr>
      <w:tr w14:paraId="1BD06A40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FB4F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1"/>
              </w:rPr>
              <w:t>流程完整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095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1"/>
              </w:rPr>
              <w:t>打通资料发布、学习、考试、评分、分析和复习。</w:t>
            </w:r>
          </w:p>
        </w:tc>
      </w:tr>
      <w:tr w14:paraId="2F735E1A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8132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1"/>
              </w:rPr>
              <w:t>角色清楚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8AC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1"/>
              </w:rPr>
              <w:t>普通用户、发布者和管理员各自拥有对应功能。</w:t>
            </w:r>
          </w:p>
        </w:tc>
      </w:tr>
      <w:tr w14:paraId="22C82EC2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88084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1"/>
              </w:rPr>
              <w:t>运行稳定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610D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1"/>
              </w:rPr>
              <w:t>关键数据能够保存，权限、时间和状态判断正确。</w:t>
            </w:r>
          </w:p>
        </w:tc>
      </w:tr>
      <w:tr w14:paraId="7AE92698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C6FB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1"/>
              </w:rPr>
              <w:t>便于维护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41837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1"/>
              </w:rPr>
              <w:t>前后端分离，模块划分明确，并配有开发文档。</w:t>
            </w:r>
          </w:p>
        </w:tc>
      </w:tr>
    </w:tbl>
    <w:p w14:paraId="6817E692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表1-1 项目主要目标</w:t>
      </w:r>
    </w:p>
    <w:p w14:paraId="160D284C">
      <w:pPr>
        <w:keepNext/>
        <w:spacing w:after="0"/>
        <w:jc w:val="center"/>
      </w:pPr>
      <w:r>
        <w:drawing>
          <wp:inline distT="0" distB="0" distL="114300" distR="114300">
            <wp:extent cx="5255895" cy="2955925"/>
            <wp:effectExtent l="0" t="0" r="1905" b="15875"/>
            <wp:docPr id="1" name="Picture 1" descr="图1-1 当前版本系统首页" title="图1-1 当前版本系统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图1-1 当前版本系统首页" title="图1-1 当前版本系统首页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2FDD2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图1-1 当前版本系统首页</w:t>
      </w:r>
    </w:p>
    <w:p w14:paraId="03B010F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2、项目计划与小组分工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1900"/>
        <w:gridCol w:w="4800"/>
      </w:tblGrid>
      <w:tr w14:paraId="40C39F2A">
        <w:trPr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CCA0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阶段</w:t>
            </w:r>
          </w:p>
        </w:tc>
        <w:tc>
          <w:tcPr>
            <w:tcW w:w="1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A9C2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日期</w:t>
            </w:r>
          </w:p>
        </w:tc>
        <w:tc>
          <w:tcPr>
            <w:tcW w:w="4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127E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主要工作</w:t>
            </w:r>
          </w:p>
        </w:tc>
      </w:tr>
      <w:tr w14:paraId="07AE1280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DF0B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准备阶段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6E0C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7月20日—21日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0897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阅读文档，配置环境，检查需求和数据库结构。</w:t>
            </w:r>
          </w:p>
        </w:tc>
      </w:tr>
      <w:tr w14:paraId="734D3429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D3894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核心开发</w:t>
            </w:r>
          </w:p>
        </w:tc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9A60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7月22日—24日</w:t>
            </w:r>
          </w:p>
        </w:tc>
        <w:tc>
          <w:tcPr>
            <w:tcW w:w="4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93D7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完成账户、资料、题库、试卷、考试和订单功能。</w:t>
            </w:r>
          </w:p>
        </w:tc>
      </w:tr>
      <w:tr w14:paraId="4A6CFD5E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50914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功能完善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30EC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7月25日—27日</w:t>
            </w:r>
          </w:p>
        </w:tc>
        <w:tc>
          <w:tcPr>
            <w:tcW w:w="4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1CD6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补充班级、AI、错题复习、线下教学和后台管理。</w:t>
            </w:r>
          </w:p>
        </w:tc>
      </w:tr>
      <w:tr w14:paraId="304F626C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29CE0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测试整理</w:t>
            </w:r>
          </w:p>
        </w:tc>
        <w:tc>
          <w:tcPr>
            <w:tcW w:w="1900" w:type="dxa"/>
            <w:shd w:val="clear" w:color="auto" w:fill="F8FBFE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D7349D">
            <w:pPr>
              <w:spacing w:before="0" w:after="0" w:line="264" w:lineRule="auto"/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7月28日—29日</w:t>
            </w:r>
          </w:p>
        </w:tc>
        <w:tc>
          <w:tcPr>
            <w:tcW w:w="4800" w:type="dxa"/>
            <w:shd w:val="clear" w:color="auto" w:fill="F8FBFE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C60341">
            <w:pPr>
              <w:spacing w:before="0" w:after="0" w:line="264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完成Redis高并发改造、回归测试、报告整理和最终验收。</w:t>
            </w:r>
          </w:p>
        </w:tc>
      </w:tr>
    </w:tbl>
    <w:p w14:paraId="4FD108AC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表1-2 项目实施计划</w:t>
      </w:r>
    </w:p>
    <w:p>
      <w:pPr>
        <w:pStyle w:val="164"/>
      </w:pPr>
      <w:r>
        <w:rPr>
          <w:rFonts w:ascii="宋体" w:hAnsi="宋体" w:eastAsia="宋体"/>
          <w:sz w:val="24"/>
        </w:rPr>
        <w:t>项目计划在原有功能开发基础上增加了Redis高并发改造阶段。甘特图按日期展示环境准备、核心开发、联调、并发优化和报告整理之间的先后关系。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514062"/>
            <wp:docPr id="42" name="Picture 42" descr="Image: image3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1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  <w:keepNext w:val="0"/>
        <w:jc w:val="center"/>
      </w:pPr>
      <w:r>
        <w:rPr>
          <w:rFonts w:ascii="宋体" w:hAnsi="宋体" w:eastAsia="宋体"/>
          <w:sz w:val="24"/>
        </w:rPr>
        <w:t>图1-2 项目实施甘特图</w:t>
      </w:r>
    </w:p>
    <w:p>
      <w:pPr>
        <w:pStyle w:val="164"/>
      </w:pPr>
      <w:r>
        <w:rPr>
          <w:rFonts w:ascii="宋体" w:hAnsi="宋体" w:eastAsia="宋体"/>
          <w:sz w:val="24"/>
        </w:rPr>
        <w:t>其中7月28日集中完成Redis限流、缓存、浏览量缓冲和考试运行态改造，并在同一天执行后端、前端及容器健康检查；7月29日主要用于材料整理和最终复核。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6500"/>
      </w:tblGrid>
      <w:tr w14:paraId="77C00E07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DDB7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成员</w:t>
            </w:r>
          </w:p>
        </w:tc>
        <w:tc>
          <w:tcPr>
            <w:tcW w:w="6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9DA32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主要分工</w:t>
            </w:r>
          </w:p>
        </w:tc>
      </w:tr>
      <w:tr w14:paraId="7E347BDB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5F53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叶世豪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1350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整体协调、项目框架、AI学习助手、班级、订单权益、后台管理和线下教学。</w:t>
            </w:r>
          </w:p>
        </w:tc>
      </w:tr>
      <w:tr w14:paraId="613C4E59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C23D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黄浩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DBD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题库、试卷、考试发布、权益商城和个人中心。</w:t>
            </w:r>
          </w:p>
        </w:tc>
      </w:tr>
      <w:tr w14:paraId="35EEA1E2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7D45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贺治中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A2B0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学习资料、Markdown学习界面、资料审核发布和用户评论。</w:t>
            </w:r>
          </w:p>
        </w:tc>
      </w:tr>
      <w:tr w14:paraId="042C0F70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84FB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罗逸欢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78FF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在线答题、自动交卷、阅卷、成绩统计和发布者工作台。</w:t>
            </w:r>
          </w:p>
        </w:tc>
      </w:tr>
    </w:tbl>
    <w:p w14:paraId="2453B23A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表1-3 小组成员分工</w:t>
      </w:r>
    </w:p>
    <w:p w14:paraId="385FF0D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开发过程中，小组成员也共同参与接口联调、数据库检查、页面测试和文档整理。</w:t>
      </w:r>
    </w:p>
    <w:p w14:paraId="7E4DB5C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小组以业务模块作为主要分工边界，但接口、数据库表和公共组件需要共同确认。每次模块完成后先在本地检查，再进行前后端联调；发现问题时先记录复现步骤和实际结果，再决定由前端、后端或数据库脚本处理。</w:t>
      </w:r>
    </w:p>
    <w:p w14:paraId="6964468C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项目材料与代码同步整理。除源代码外，还维护了环境配置说明、数据库脚本、API文档、开发文档和代码导读，使其他成员能够从Controller、Service、Mapper或前端路由快速找到对应实现。</w:t>
      </w:r>
    </w:p>
    <w:p w14:paraId="06B4FF5D">
      <w:r>
        <w:rPr>
          <w:rFonts w:ascii="Times New Roman" w:hAnsi="Times New Roman" w:eastAsia="Heiti SC"/>
          <w:b/>
          <w:sz w:val="32"/>
        </w:rPr>
        <w:t>二、需求分析</w:t>
      </w:r>
    </w:p>
    <w:p w14:paraId="6E85755F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1、用户角色分析</w:t>
      </w:r>
    </w:p>
    <w:p w14:paraId="1104E1C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系统主要面向普通用户、内容发布者和管理员三类角色。不同角色共享账户体系，但能够操作的功能不同。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000"/>
        <w:gridCol w:w="3700"/>
      </w:tblGrid>
      <w:tr w14:paraId="1623967C">
        <w:trPr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795B2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角色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137B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主要需求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C0D53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主要权限</w:t>
            </w:r>
          </w:p>
        </w:tc>
      </w:tr>
      <w:tr w14:paraId="0E4B6413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8C3C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普通用户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7B70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学习资料、参加考试、查看成绩、使用AI辅助。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B556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浏览和购买资料、加入班级、答题、查看个人数据。</w:t>
            </w:r>
          </w:p>
        </w:tc>
      </w:tr>
      <w:tr w14:paraId="1830D3F2">
        <w:trPr>
          <w:cantSplit/>
          <w:jc w:val="center"/>
        </w:trPr>
        <w:tc>
          <w:tcPr>
            <w:tcW w:w="1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0949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内容发布者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BA42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发布资料、组织考试、查看统计。</w:t>
            </w:r>
          </w:p>
        </w:tc>
        <w:tc>
          <w:tcPr>
            <w:tcW w:w="3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26D2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管理资料、题库、试卷、考试、阅卷和教学服务。</w:t>
            </w:r>
          </w:p>
        </w:tc>
      </w:tr>
      <w:tr w14:paraId="07A122EB">
        <w:trPr>
          <w:cantSplit/>
          <w:jc w:val="center"/>
        </w:trP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B58D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管理员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B0D8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维护平台秩序和业务数据。</w:t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1537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审核内容、管理用户、考试、订单、AI配置和日志。</w:t>
            </w:r>
          </w:p>
        </w:tc>
      </w:tr>
    </w:tbl>
    <w:p w14:paraId="62FA342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表2-1 系统角色及需求</w:t>
      </w:r>
    </w:p>
    <w:p w14:paraId="24EB7A75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账户与权限是所有业务的入口，后续模块都要根据登录用户和角色进行判断。</w:t>
      </w:r>
    </w:p>
    <w:p w14:paraId="149E523D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学习资料与班级模块主要解决资料发布、审核、访问范围和学习进度问题。</w:t>
      </w:r>
    </w:p>
    <w:p w14:paraId="76C94192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考试模块围绕题库、试卷、发布、答题、交卷、阅卷和成绩统计展开。</w:t>
      </w:r>
    </w:p>
    <w:p w14:paraId="4D09EA7E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订单和权益用于控制付费资料、AI次数及考试发布次数。</w:t>
      </w:r>
    </w:p>
    <w:p w14:paraId="753956E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除了三类系统角色外，班级内部还区分拥有者、管理员和普通成员。班级身份只在具体班级中生效，不能代替系统发布者或管理员角色。这样可以避免一个用户管理某个班级后，自动获得整个平台的高权限。</w:t>
      </w:r>
    </w:p>
    <w:p w14:paraId="7306EAAB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2、系统总体用例</w:t>
      </w:r>
    </w:p>
    <w:p w14:paraId="5696717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总体用例图把三类角色能够完成的主要操作放在一张图中，便于检查需求是否遗漏。</w:t>
      </w:r>
    </w:p>
    <w:p w14:paraId="704D9E34">
      <w:pPr>
        <w:keepNext/>
        <w:spacing w:after="0"/>
        <w:jc w:val="center"/>
      </w:pPr>
      <w:r>
        <w:drawing>
          <wp:inline distT="0" distB="0" distL="114300" distR="114300">
            <wp:extent cx="3671570" cy="4912360"/>
            <wp:effectExtent l="0" t="0" r="11430" b="15240"/>
            <wp:docPr id="2" name="Picture 2" descr="图2-1 系统总体用例图（参照项目设计报告）" title="图2-1 系统总体用例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2-1 系统总体用例图（参照项目设计报告）" title="图2-1 系统总体用例图（参照项目设计报告）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491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9DF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图2-1 系统总体用例图（参照项目设计报告）</w:t>
      </w:r>
    </w:p>
    <w:p w14:paraId="1FDA2972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从图中可以看出，普通用户侧重学习与考试，发布者侧重内容和考试组织，管理员侧重审核和维护。</w:t>
      </w:r>
    </w:p>
    <w:p w14:paraId="7714F2A1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主要业务流程可以概括为：发布者创建资料或考试，管理员完成必要审核，普通用户取得访问资格并开展学习或作答，系统保存过程数据，最后生成成绩、学习记录和AI辅助结果。各环节都要保留状态，防止用户跳过审核、重复支付或重复交卷。</w:t>
      </w:r>
    </w:p>
    <w:p w14:paraId="6FBE52E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3、功能需求与非功能需求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3BA716C9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09E9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需求类别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937320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主要内容</w:t>
            </w:r>
          </w:p>
        </w:tc>
      </w:tr>
      <w:tr w14:paraId="11732646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9974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账户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9E8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注册、登录、个人资料、头像、公开主页和角色权限。</w:t>
            </w:r>
          </w:p>
        </w:tc>
      </w:tr>
      <w:tr w14:paraId="25359324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EFB2D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学习资料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D160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Markdown正文、附件、审核发布、收藏、评论和学习进度。</w:t>
            </w:r>
          </w:p>
        </w:tc>
      </w:tr>
      <w:tr w14:paraId="038201B8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9432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班级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6C7E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邀请码加入、成员管理、公告、资料和考试发放。</w:t>
            </w:r>
          </w:p>
        </w:tc>
      </w:tr>
      <w:tr w14:paraId="16C21AEB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4DB834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考试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19E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五类题目、组卷、发布、答题保存、自动交卷、阅卷和统计。</w:t>
            </w:r>
          </w:p>
        </w:tc>
      </w:tr>
      <w:tr w14:paraId="7B3775C0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15C8B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AI辅助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F6F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资料总结、知识讲解、考试分析、错题复习和教师推荐。</w:t>
            </w:r>
          </w:p>
        </w:tc>
      </w:tr>
      <w:tr w14:paraId="50DA2C22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8C00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商城后台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C4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模拟支付、权益发放、用户内容订单管理和操作日志。</w:t>
            </w:r>
          </w:p>
        </w:tc>
      </w:tr>
    </w:tbl>
    <w:p w14:paraId="5602BAD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表2-2 主要功能需求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22853171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53C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方面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C9140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要求</w:t>
            </w:r>
          </w:p>
        </w:tc>
      </w:tr>
      <w:tr w14:paraId="1E135150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628B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安全性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037C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密码加密保存，接口检查JWT和角色，上传文件校验类型与大小。</w:t>
            </w:r>
          </w:p>
        </w:tc>
      </w:tr>
      <w:tr w14:paraId="04C35038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913C9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可靠性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9E9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答题过程及时保存，交卷和评分状态清楚，失败操作不重复扣减权益。</w:t>
            </w:r>
          </w:p>
        </w:tc>
      </w:tr>
      <w:tr w14:paraId="7DBF7AF4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CC7D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易用性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8D1BA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页面提示明确，关键时间按本地格式显示，常用功能入口容易找到。</w:t>
            </w:r>
          </w:p>
        </w:tc>
      </w:tr>
      <w:tr w14:paraId="1A5F395F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9D26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可维护性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54FF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模块边界清楚，数据库脚本和接口文档能够对应最新代码。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性能与并发</w:t>
            </w:r>
          </w:p>
        </w:tc>
        <w:tc>
          <w:tcPr>
            <w:tcW w:type="dxa" w:w="6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多实例共享限流状态；热点读取可缓存；高频浏览计数避免逐请求竞争同一数据库行。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可降级性</w:t>
            </w:r>
          </w:p>
        </w:tc>
        <w:tc>
          <w:tcPr>
            <w:tcW w:type="dxa" w:w="6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Redis不可用时回源MySQL或退回本机守卫，核心业务不能因缓存异常整体停止。</w:t>
            </w:r>
          </w:p>
        </w:tc>
      </w:tr>
    </w:tbl>
    <w:p w14:paraId="47DBAE6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表2-3 非功能需求</w:t>
      </w:r>
    </w:p>
    <w:p w14:paraId="3050C63F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4、主要业务流程</w:t>
      </w:r>
    </w:p>
    <w:p w14:paraId="0A275A20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（1）资料流程：发布者新建草稿，上传正文或附件，提交审核；管理员通过后资料正式发布，用户按公开、班级或付费条件访问。</w:t>
      </w:r>
    </w:p>
    <w:p w14:paraId="0F7234E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（2）考试流程：发布者维护题库并组成试卷，设置时间和参加范围后发布；考生进入考试、保存答案、交卷，系统完成自动评分并等待主观题阅卷。</w:t>
      </w:r>
    </w:p>
    <w:p w14:paraId="6D11B30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（3）权益流程：用户选择商品并创建订单，模拟支付成功后发放资料访问权或次数额度；业务成功执行后再扣减次数。</w:t>
      </w:r>
    </w:p>
    <w:p w14:paraId="6F70CE51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（4）AI流程：系统先检查资料或考试访问权和剩余额度，再创建幂等任务；AI结果成功保存后记录使用情况并扣减额度。</w:t>
      </w:r>
    </w:p>
    <w:p w14:paraId="5537AF2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（5）后台流程：管理员查看用户、资料、考试、订单和日志，对需要审核或治理的数据进行处理，并保留操作记录。</w:t>
      </w:r>
    </w:p>
    <w:p>
      <w:pPr>
        <w:pStyle w:val="164"/>
      </w:pPr>
      <w:r>
        <w:rPr>
          <w:rFonts w:ascii="宋体" w:hAnsi="宋体" w:eastAsia="宋体"/>
          <w:sz w:val="24"/>
        </w:rPr>
        <w:t>（6）高并发流程：请求先经过Redis分布式限流；JWT认证和热点权限判断优先读取短期缓存；浏览量在Redis中原子累加后定时回写MySQL；考试截止时间进入ZSET，由调度器原子领取到期答卷。Redis异常时分别退回本机守卫或MySQL查询。</w:t>
      </w:r>
    </w:p>
    <w:p w14:paraId="27B8CD3F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5、可行性与风险分析</w:t>
      </w:r>
    </w:p>
    <w:p w14:paraId="7FAB520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技术方面，Spring Boot、MyBatis、Vue 3和MySQL均为成熟方案，小组能够在已有知识基础上完成开发。Redis负责短期状态和防刷，MinIO负责大文件，避免让单一数据库承担所有任务。</w:t>
      </w:r>
    </w:p>
    <w:p w14:paraId="250AE795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经济方面，MVP所用组件可以本地部署，支付使用模拟方式，AI也可以在Mock模式下验收，因此不需要额外购买商业服务。真实AI按成功调用扣次，并设置输入长度、并发和超时限制，便于控制调用成本。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3300"/>
        <w:gridCol w:w="2800"/>
      </w:tblGrid>
      <w:tr w14:paraId="5F95A4A2">
        <w:trPr>
          <w:tblHeader/>
          <w:jc w:val="center"/>
        </w:trPr>
        <w:tc>
          <w:tcPr>
            <w:tcW w:w="2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7E23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主要风险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8B76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当前处理</w:t>
            </w:r>
          </w:p>
        </w:tc>
        <w:tc>
          <w:tcPr>
            <w:tcW w:w="2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8EF8F6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后续改进</w:t>
            </w:r>
          </w:p>
        </w:tc>
      </w:tr>
      <w:tr w14:paraId="284D2C26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6171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AI响应慢或不可用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3C81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设置超时、并发保护、幂等和失败记录。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426E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增加异步任务和消息队列。</w:t>
            </w:r>
          </w:p>
        </w:tc>
      </w:tr>
      <w:tr w14:paraId="4AE81037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2D394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大文件上传失败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30BF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前后端检查类型和大小，MinIO统一保存。</w:t>
            </w:r>
          </w:p>
        </w:tc>
        <w:tc>
          <w:tcPr>
            <w:tcW w:w="2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C283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增加分片上传和病毒扫描。</w:t>
            </w:r>
          </w:p>
        </w:tc>
      </w:tr>
      <w:tr w14:paraId="525232EE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EF3E2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考试并发交卷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107CA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服务端截止时间、版本号和幂等保存。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D3E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压测后按需要拆分考试服务。</w:t>
            </w:r>
          </w:p>
        </w:tc>
      </w:tr>
      <w:tr w14:paraId="42BE1C1C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1879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模拟支付被误解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74F4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页面明确说明不代表真实交易。</w:t>
            </w:r>
          </w:p>
        </w:tc>
        <w:tc>
          <w:tcPr>
            <w:tcW w:w="2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5E90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接入持牌支付并增加回调验签。</w:t>
            </w:r>
          </w:p>
        </w:tc>
      </w:tr>
      <w:tr w14:paraId="40A351E1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4E419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敏感信息泄露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DF6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加密、脱敏、角色校验和审计日志。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CED21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引入密钥管理和定期轮换。</w:t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Redis暂时不可用</w:t>
            </w:r>
          </w:p>
        </w:tc>
        <w:tc>
          <w:tcPr>
            <w:tcW w:type="dxa" w:w="33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限流退回本机计数，缓存回源MySQL，考试调度使用数据库扫描。</w:t>
            </w:r>
          </w:p>
        </w:tc>
        <w:tc>
          <w:tcPr>
            <w:tcW w:type="dxa" w:w="2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部署监控连接状态并保留容量余量。</w:t>
            </w:r>
          </w:p>
        </w:tc>
      </w:tr>
      <w:tr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缓存结果过期或不一致</w:t>
            </w:r>
          </w:p>
        </w:tc>
        <w:tc>
          <w:tcPr>
            <w:tcW w:type="dxa" w:w="33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设置TTL，并在事务提交后主动删除或递增版本。</w:t>
            </w:r>
          </w:p>
        </w:tc>
        <w:tc>
          <w:tcPr>
            <w:tcW w:type="dxa" w:w="2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继续补充命中率与失效日志。</w:t>
            </w:r>
          </w:p>
        </w:tc>
      </w:tr>
    </w:tbl>
    <w:p w14:paraId="16F3A9DE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表2-4 主要风险及处理办法</w:t>
      </w:r>
    </w:p>
    <w:p w14:paraId="2AF1B90C">
      <w:r>
        <w:rPr>
          <w:rFonts w:ascii="Times New Roman" w:hAnsi="Times New Roman" w:eastAsia="Heiti SC"/>
          <w:b/>
          <w:sz w:val="32"/>
        </w:rPr>
        <w:t>三、概要设计</w:t>
      </w:r>
    </w:p>
    <w:p w14:paraId="5A1F7EB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1、设计思想与实现方法</w:t>
      </w:r>
    </w:p>
    <w:p w14:paraId="5566BDE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项目采用“先打通主流程，再逐步补充功能”的思路。账户、资料、考试、AI、订单和后台模块相对独立，又通过统一的用户身份、权限和数据库关系连接起来。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3300"/>
        <w:gridCol w:w="3600"/>
      </w:tblGrid>
      <w:tr w14:paraId="10F56658">
        <w:trPr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D0AC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层次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BD937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采用技术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45B76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作用</w:t>
            </w:r>
          </w:p>
        </w:tc>
      </w:tr>
      <w:tr w14:paraId="118D94D4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67C3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前端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83A3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Vue 3、TypeScript、Vite、Element Plus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5EE5B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负责页面、表单、路由和状态管理。</w:t>
            </w:r>
          </w:p>
        </w:tc>
      </w:tr>
      <w:tr w14:paraId="65C336FE">
        <w:trPr>
          <w:cantSplit/>
          <w:jc w:val="center"/>
        </w:trPr>
        <w:tc>
          <w:tcPr>
            <w:tcW w:w="1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8A93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后端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D11B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JDK 21、Spring Boot、Spring Security、MyBatis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515F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负责接口、业务规则、权限和数据访问。</w:t>
            </w:r>
          </w:p>
        </w:tc>
      </w:tr>
      <w:tr w14:paraId="02E62E3A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1AF1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数据</w:t>
            </w:r>
          </w:p>
        </w:tc>
        <w:tc>
          <w:tcPr>
            <w:tcW w:w="33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0718A6">
            <w:pPr>
              <w:spacing w:before="0" w:after="0" w:line="264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MySQL 8、Redis 7.4</w:t>
            </w:r>
          </w:p>
        </w:tc>
        <w:tc>
          <w:tcPr>
            <w:tcW w:w="36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6C58C4">
            <w:pPr>
              <w:spacing w:before="0" w:after="0" w:line="264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MySQL保存业务真源；Redis承担共享限流、热点缓存和短期运行状态。</w:t>
            </w:r>
          </w:p>
        </w:tc>
      </w:tr>
      <w:tr w14:paraId="0E22DF72">
        <w:trPr>
          <w:cantSplit/>
          <w:jc w:val="center"/>
        </w:trPr>
        <w:tc>
          <w:tcPr>
            <w:tcW w:w="1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D4965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文件</w:t>
            </w:r>
          </w:p>
        </w:tc>
        <w:tc>
          <w:tcPr>
            <w:tcW w:w="3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19AE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MinIO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102D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保存封面、头像、文档、视频和附件。</w:t>
            </w:r>
          </w:p>
        </w:tc>
      </w:tr>
      <w:tr w14:paraId="5B5EA6D5">
        <w:trPr>
          <w:cantSplit/>
          <w:jc w:val="center"/>
        </w:trPr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606A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AI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905C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Mock AI / DeepSeek接口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51B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支持本地测试和真实模型接入。</w:t>
            </w:r>
          </w:p>
        </w:tc>
      </w:tr>
    </w:tbl>
    <w:p w14:paraId="0A961840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表3-1 系统主要技术</w:t>
      </w:r>
    </w:p>
    <w:p w14:paraId="72DBBEE7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前后端通过JSON接口通信，浏览器不直接操作数据库。</w:t>
      </w:r>
    </w:p>
    <w:p w14:paraId="61DE6CCC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后端按控制层、业务层和数据访问层组织代码。</w:t>
      </w:r>
    </w:p>
    <w:p w14:paraId="60E42C79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模块化单体结构便于实训期间分工开发和统一部署。</w:t>
      </w:r>
    </w:p>
    <w:p w14:paraId="65CFBD6C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前端负责页面显示、表单校验和交互反馈，但不能把隐藏按钮当成真正的权限控制。后端在接口入口和业务服务中再次检查角色、资源归属与访问范围，以后端判断作为最终结果。</w:t>
      </w:r>
    </w:p>
    <w:p w14:paraId="67E65F0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后端公共层统一处理响应格式、异常、traceId、限流、审计和健康检查。业务模块只关心本领域规则，减少每个Controller重复编写错误处理和基础校验。</w:t>
      </w:r>
    </w:p>
    <w:p w14:paraId="30AA774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2、系统总体架构</w:t>
      </w:r>
    </w:p>
    <w:p w14:paraId="18244620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系统采用B/S架构。用户通过浏览器访问Vue前端，前端调用Spring Boot后端接口。后端可以部署多个实例，各实例共享Redis中的限流、缓存和短期运行状态，再访问MySQL、MinIO和AI服务。</w:t>
      </w:r>
    </w:p>
    <w:p w14:paraId="2F329D33">
      <w:pPr>
        <w:keepNext/>
        <w:spacing w:after="0"/>
        <w:jc w:val="center"/>
      </w:pPr>
      <w:r>
        <w:drawing>
          <wp:inline distT="0" distB="0" distL="114300" distR="114300">
            <wp:extent cx="5471795" cy="3990975"/>
            <wp:effectExtent l="0" t="0" r="14605" b="22225"/>
            <wp:docPr id="3" name="Picture 3" descr="图3-1 系统总体架构图（参照项目设计报告）" title="图3-1 系统总体架构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3-1 系统总体架构图（参照项目设计报告）" title="图3-1 系统总体架构图（参照项目设计报告）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99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4653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图3-1 系统总体架构图（参照项目设计报告）</w:t>
      </w:r>
    </w:p>
    <w:p w14:paraId="1720E85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该结构将页面显示、业务处理和数据存储分开，便于独立测试和后续维护。</w:t>
      </w:r>
    </w:p>
    <w:p w14:paraId="0729527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浏览器请求统一经过Axios实例携带JWT和请求标识。Spring Security完成身份认证后，Controller接收参数，Service处理事务和业务规则，Mapper执行参数化SQL。出现异常时由全局异常处理器转换为统一错误码和traceId，前端据此显示提示。</w:t>
      </w:r>
    </w:p>
    <w:p>
      <w:pPr>
        <w:pStyle w:val="167"/>
      </w:pPr>
      <w:r>
        <w:rPr>
          <w:rFonts w:ascii="宋体" w:hAnsi="宋体" w:eastAsia="宋体"/>
          <w:sz w:val="24"/>
        </w:rPr>
        <w:t>3、Redis高并发概要设计</w:t>
      </w:r>
    </w:p>
    <w:p>
      <w:pPr>
        <w:pStyle w:val="164"/>
      </w:pPr>
      <w:r>
        <w:rPr>
          <w:rFonts w:ascii="宋体" w:hAnsi="宋体" w:eastAsia="宋体"/>
          <w:sz w:val="24"/>
        </w:rPr>
        <w:t>Redis在系统中被定位为共享加速层和短期运行状态存储。它不保存订单、权益、考试答案和最终成绩等唯一数据，因此缓存故障不会改变业务事实。多实例部署时，Redis让不同后端实例能够看到同一份限流计数、AI并发租约和考试截止索引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96128" cy="3226003"/>
            <wp:docPr id="43" name="Picture 43" descr="Image: image4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is_architectur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96128" cy="32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  <w:jc w:val="center"/>
      </w:pPr>
      <w:r>
        <w:rPr>
          <w:rFonts w:ascii="宋体" w:hAnsi="宋体" w:eastAsia="宋体"/>
          <w:sz w:val="24"/>
        </w:rPr>
        <w:t>图3-2 Redis高并发总体结构图</w:t>
      </w:r>
    </w:p>
    <w:tbl>
      <w:tblPr>
        <w:tblStyle w:val="3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6E9F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Redis用途</w:t>
            </w:r>
          </w:p>
        </w:tc>
        <w:tc>
          <w:tcPr>
            <w:tcW w:type="dxa" w:w="28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6E9F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主要数据结构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6E9F7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0"/>
              </w:rPr>
              <w:t>一致性或降级处理</w:t>
            </w:r>
          </w:p>
        </w:tc>
        <w:trPr>
          <w:tblHeader/>
        </w:trPr>
      </w:tr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接口限流</w:t>
            </w:r>
          </w:p>
        </w:tc>
        <w:tc>
          <w:tcPr>
            <w:tcW w:type="dxa" w:w="28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String + Lua固定窗口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跨实例共享；异常时退回本机计数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AI守卫</w:t>
            </w:r>
          </w:p>
        </w:tc>
        <w:tc>
          <w:tcPr>
            <w:tcW w:type="dxa" w:w="28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ZSET滑动窗口、SET NX PX租约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令牌校验释放；异常时退回本机信号量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认证与授权</w:t>
            </w:r>
          </w:p>
        </w:tc>
        <w:tc>
          <w:tcPr>
            <w:tcW w:type="dxa" w:w="28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JSON快照、版本化判定Key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事务提交后失效；失败时回查数据库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浏览量</w:t>
            </w:r>
          </w:p>
        </w:tc>
        <w:tc>
          <w:tcPr>
            <w:tcW w:type="dxa" w:w="28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Hash增量、分布式刷新锁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30秒回写；失败增量重新入队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考试运行态</w:t>
            </w:r>
          </w:p>
        </w:tc>
        <w:tc>
          <w:tcPr>
            <w:tcW w:type="dxa" w:w="28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ZSET截止索引、短期Key</w:t>
            </w:r>
          </w:p>
        </w:tc>
        <w:tc>
          <w:tcPr>
            <w:tcW w:type="dxa" w:w="41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MySQL状态判断与周期对账兜底</w:t>
            </w:r>
          </w:p>
        </w:tc>
      </w:tr>
    </w:tbl>
    <w:p>
      <w:pPr>
        <w:pStyle w:val="15"/>
        <w:jc w:val="center"/>
      </w:pPr>
      <w:r>
        <w:rPr>
          <w:rFonts w:ascii="宋体" w:hAnsi="宋体" w:eastAsia="宋体"/>
          <w:sz w:val="24"/>
        </w:rPr>
        <w:t>表3-2 Redis主要用途与边界</w:t>
      </w:r>
    </w:p>
    <w:p w14:paraId="255F060C">
      <w:pPr>
        <w:pStyle w:val="167"/>
        <w:keepNext/>
      </w:pPr>
      <w:r>
        <w:rPr>
          <w:rFonts w:ascii="宋体" w:hAnsi="宋体" w:eastAsia="宋体"/>
          <w:sz w:val="24"/>
        </w:rPr>
        <w:t>4、部署结构与模块关系</w:t>
      </w:r>
    </w:p>
    <w:p w14:paraId="593EED20">
      <w:pPr>
        <w:keepNext/>
        <w:spacing w:after="0"/>
        <w:jc w:val="center"/>
      </w:pPr>
      <w:r>
        <w:drawing>
          <wp:inline distT="0" distB="0" distL="114300" distR="114300">
            <wp:extent cx="5111750" cy="2936875"/>
            <wp:effectExtent l="0" t="0" r="0" b="0"/>
            <wp:docPr id="4" name="Picture 4" descr="图3-2 系统部署图" title="图3-2 系统部署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3-2 系统部署图" title="图3-2 系统部署图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3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1D15F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图3-3 系统部署图</w:t>
      </w:r>
    </w:p>
    <w:p w14:paraId="688414C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本地联调时，Vue开发服务器通过代理访问8080端口的后端接口；后端连接MySQL、Redis和MinIO。正式部署时前端应构建为静态文件，并由反向代理提供HTTPS访问。</w:t>
      </w:r>
    </w:p>
    <w:p>
      <w:pPr>
        <w:pStyle w:val="164"/>
      </w:pPr>
      <w:r>
        <w:t>部署时各模块保持清楚的调用方向：浏览器只访问前端和后端接口，业务服务统一访问数据库、缓存和文件服务。这样既方便排查故障，也能避免页面绕过后端直接读取数据。</w:t>
      </w:r>
    </w:p>
    <w:p>
      <w:pPr>
        <w:pStyle w:val="164"/>
      </w:pPr>
      <w:r>
        <w:t>Redis属于可替换的加速节点。连接中断时，限流退回本机计数，认证与授权回查MySQL，考试调度改用数据库扫描；服务恢复后再继续使用共享状态，不要求人工修改业务数据。</w:t>
      </w:r>
    </w:p>
    <w:p w14:paraId="6F6D8D6A">
      <w:pPr>
        <w:keepNext/>
        <w:spacing w:after="0"/>
        <w:jc w:val="center"/>
      </w:pPr>
      <w:r>
        <w:drawing>
          <wp:inline distT="0" distB="0" distL="114300" distR="114300">
            <wp:extent cx="2834640" cy="6897358"/>
            <wp:effectExtent l="0" t="0" r="0" b="0"/>
            <wp:docPr id="5" name="Picture 5" descr="图3-3 系统功能模块图" title="图3-3 系统功能模块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3-3 系统功能模块图" title="图3-3 系统功能模块图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6897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34911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图3-4 系统功能模块图</w:t>
      </w:r>
    </w:p>
    <w:p w14:paraId="52FE24E5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账户模块为其他模块提供身份信息；资料和班级模块向学习进度与AI模块提供内容数据；考试模块向阅卷、成绩、AI分析和错题复习提供作答数据；订单模块控制付费资料和功能权益；后台统一维护用户、内容、考试、订单和日志。</w:t>
      </w:r>
    </w:p>
    <w:p w14:paraId="1B40E1E8">
      <w:pPr>
        <w:pStyle w:val="167"/>
        <w:keepNext/>
      </w:pPr>
      <w:r>
        <w:rPr>
          <w:rFonts w:ascii="宋体" w:hAnsi="宋体" w:eastAsia="宋体"/>
          <w:sz w:val="24"/>
        </w:rPr>
        <w:t>5、数据库与缓存一致性设计</w:t>
      </w:r>
    </w:p>
    <w:p w14:paraId="6718F908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MySQL保存平台的主要业务数据。数据库按账户、内容、考试、班级、交易、AI和审计等主题划分，最新基础建库脚本说明为38张业务表。Redis只保存可重新计算或可回源的短期数据，不替代数据库事务。</w:t>
      </w:r>
    </w:p>
    <w:p w14:paraId="5E3FE402">
      <w:pPr>
        <w:keepNext/>
        <w:spacing w:after="0"/>
        <w:jc w:val="center"/>
      </w:pPr>
      <w:r>
        <w:drawing>
          <wp:inline distT="0" distB="0" distL="114300" distR="114300">
            <wp:extent cx="5507990" cy="2592070"/>
            <wp:effectExtent l="0" t="0" r="0" b="0"/>
            <wp:docPr id="6" name="Picture 6" descr="图3-4 MVP核心数据库ER图（参照项目设计报告）" title="图3-4 MVP核心数据库ER图（参照项目设计报告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图3-4 MVP核心数据库ER图（参照项目设计报告）" title="图3-4 MVP核心数据库ER图（参照项目设计报告）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259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F658A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图3-5 MVP核心数据库ER图（参照项目设计报告）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02CF383B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3454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数据主题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F503F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代表表</w:t>
            </w:r>
          </w:p>
        </w:tc>
      </w:tr>
      <w:tr w14:paraId="56815AF7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BE69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账户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5B644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users、user_profiles、roles</w:t>
            </w:r>
          </w:p>
        </w:tc>
      </w:tr>
      <w:tr w14:paraId="4A773690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DF5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内容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8CC1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learning_contents、content_files、comments</w:t>
            </w:r>
          </w:p>
        </w:tc>
      </w:tr>
      <w:tr w14:paraId="03C440C0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FD972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考试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BD94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questions、papers、exams、exam_sessions、answers</w:t>
            </w:r>
          </w:p>
        </w:tc>
      </w:tr>
      <w:tr w14:paraId="7A36C44A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6A34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交易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D227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products、orders、entitlements</w:t>
            </w:r>
          </w:p>
        </w:tc>
      </w:tr>
    </w:tbl>
    <w:p w14:paraId="44AD7EDF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表3-3 核心数据主题</w:t>
      </w:r>
    </w:p>
    <w:p w14:paraId="32F2196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数据库主键统一使用自增BIGINT，金额和分数使用DECIMAL，避免浮点误差。常用业务表保留创建时间和更新时间，需要保留历史的主数据使用逻辑删除。状态字段使用可读英文代码，不使用难以扩展的MySQL ENUM。</w:t>
      </w:r>
    </w:p>
    <w:p w14:paraId="2BE133C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考试试卷和订单项保存必要快照。这样即使题库题目或商品信息以后被修改，已经完成的考试成绩和历史订单仍能还原当时内容。文件二进制不写入MySQL，只保存MinIO对象信息。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0"/>
        <w:gridCol w:w="6300"/>
      </w:tblGrid>
      <w:tr w14:paraId="30FAC643">
        <w:trPr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A7FE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业务对象</w:t>
            </w:r>
          </w:p>
        </w:tc>
        <w:tc>
          <w:tcPr>
            <w:tcW w:w="6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47E8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主要状态</w:t>
            </w:r>
          </w:p>
        </w:tc>
      </w:tr>
      <w:tr w14:paraId="0AC503E6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2A04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学习资料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AF8C3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DRAFT、PENDING_REVIEW、PUBLISHED、REJECTED、OFFLINE</w:t>
            </w:r>
          </w:p>
        </w:tc>
      </w:tr>
      <w:tr w14:paraId="68F9C942">
        <w:trPr>
          <w:cantSplit/>
          <w:jc w:val="center"/>
        </w:trPr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EB746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考试</w:t>
            </w:r>
          </w:p>
        </w:tc>
        <w:tc>
          <w:tcPr>
            <w:tcW w:w="6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33F2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DRAFT、PUBLISHED、ONGOING、FINISHED、CANCELLED</w:t>
            </w:r>
          </w:p>
        </w:tc>
      </w:tr>
      <w:tr w14:paraId="3FF9734A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DD4F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作答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47DA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IN_PROGRESS、SUBMITTED、AUTO_SUBMITTED、GRADING、GRADED</w:t>
            </w:r>
          </w:p>
        </w:tc>
      </w:tr>
      <w:tr w14:paraId="52CB40C2">
        <w:trPr>
          <w:cantSplit/>
          <w:jc w:val="center"/>
        </w:trPr>
        <w:tc>
          <w:tcPr>
            <w:tcW w:w="19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99057D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订单</w:t>
            </w:r>
          </w:p>
        </w:tc>
        <w:tc>
          <w:tcPr>
            <w:tcW w:w="6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855E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PENDING_PAYMENT、PAID、CANCELLED、CLOSED、REFUNDED</w:t>
            </w:r>
          </w:p>
        </w:tc>
      </w:tr>
      <w:tr w14:paraId="5B994AE1">
        <w:trPr>
          <w:cantSplit/>
          <w:jc w:val="center"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74E7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AI任务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8738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PENDING、PROCESSING、SUCCEEDED、FAILED、CANCELLED</w:t>
            </w:r>
          </w:p>
        </w:tc>
      </w:tr>
    </w:tbl>
    <w:p w14:paraId="52820715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表3-4 关键业务状态</w:t>
      </w:r>
    </w:p>
    <w:p w14:paraId="250B4C51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一致性方面，支付成功、权益发放和订单状态变更放在同一事务中；考试答案依靠作答编号和题目编号唯一约束实现幂等保存；交卷继续使用MySQL状态条件处理手动交卷与超时交卷的竞争。缓存写路径在数据库事务提交后失效，授权判定使用用户版本和资源版本避免通配扫描，浏览量则允许短暂最终一致。</w:t>
      </w:r>
    </w:p>
    <w:p w14:paraId="76829AEA">
      <w:r>
        <w:rPr>
          <w:rFonts w:ascii="Times New Roman" w:hAnsi="Times New Roman" w:eastAsia="Heiti SC"/>
          <w:b/>
          <w:sz w:val="32"/>
        </w:rPr>
        <w:t>四、详细设计</w:t>
      </w:r>
    </w:p>
    <w:p w14:paraId="34BCCFC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1、账户与权限模块</w:t>
      </w:r>
    </w:p>
    <w:p w14:paraId="3105E70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注册时系统检查用户名、昵称和密码格式，密码使用BCrypt加密保存。登录成功后签发JWT，前端保存登录状态，后端根据JWT识别用户和角色。</w:t>
      </w:r>
    </w:p>
    <w:p w14:paraId="2D77C243">
      <w:pPr>
        <w:keepNext/>
        <w:spacing w:after="0"/>
        <w:jc w:val="center"/>
      </w:pPr>
      <w:r>
        <w:drawing>
          <wp:inline distT="0" distB="0" distL="114300" distR="114300">
            <wp:extent cx="4607560" cy="3312160"/>
            <wp:effectExtent l="0" t="0" r="0" b="0"/>
            <wp:docPr id="7" name="Picture 7" descr="图4-1 认证与授权模块类图" title="图4-1 认证与授权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图4-1 认证与授权模块类图" title="图4-1 认证与授权模块类图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331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D19E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图4-1 认证与授权模块类图</w:t>
      </w:r>
    </w:p>
    <w:p w14:paraId="54FB451A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每次请求校验JWT后，系统优先读取60秒认证快照，快照只保存用户编号、用户名、账号状态和角色集合。账号状态、密码或角色变化后在事务提交后删除快照，下一次请求立即回查数据库，因此旧JWT不能继续获得已撤销的权限。登录失败防刷仍使用15分钟窗口。</w:t>
      </w:r>
    </w:p>
    <w:p w14:paraId="1275AC5E">
      <w:pPr>
        <w:keepNext/>
        <w:spacing w:after="0"/>
        <w:jc w:val="center"/>
      </w:pPr>
      <w:r>
        <w:drawing>
          <wp:inline distT="0" distB="0" distL="114300" distR="114300">
            <wp:extent cx="5255895" cy="2955925"/>
            <wp:effectExtent l="0" t="0" r="0" b="0"/>
            <wp:docPr id="8" name="Picture 8" descr="图4-2 当前登录页面" title="图4-2 当前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图4-2 当前登录页面" title="图4-2 当前登录页面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0DA34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图4-2 当前登录页面</w:t>
      </w:r>
    </w:p>
    <w:p w14:paraId="1D63C17F">
      <w:pPr>
        <w:keepNext/>
        <w:spacing w:after="0"/>
        <w:jc w:val="center"/>
      </w:pPr>
      <w:r>
        <w:drawing>
          <wp:inline distT="0" distB="0" distL="114300" distR="114300">
            <wp:extent cx="5255895" cy="3206750"/>
            <wp:effectExtent l="0" t="0" r="0" b="0"/>
            <wp:docPr id="9" name="Picture 9" descr="图4-3 当前注册页面" title="图4-3 当前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图4-3 当前注册页面" title="图4-3 当前注册页面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0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318B5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图4-3 当前注册页面</w:t>
      </w:r>
    </w:p>
    <w:p w14:paraId="1712DE4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登录和注册页面使用独立认证布局。表单先在前端检查必填项和格式，再提交后端；后端仍会重复校验，防止绕过浏览器直接调用接口。</w:t>
      </w:r>
    </w:p>
    <w:p>
      <w:pPr>
        <w:pStyle w:val="167"/>
      </w:pPr>
      <w:r>
        <w:rPr>
          <w:rFonts w:ascii="宋体" w:hAnsi="宋体" w:eastAsia="宋体"/>
          <w:sz w:val="24"/>
        </w:rPr>
        <w:t>2、Redis高并发与降级设计</w:t>
      </w:r>
    </w:p>
    <w:p>
      <w:pPr>
        <w:pStyle w:val="164"/>
      </w:pPr>
      <w:r>
        <w:rPr>
          <w:rFonts w:ascii="宋体" w:hAnsi="宋体" w:eastAsia="宋体"/>
          <w:sz w:val="24"/>
        </w:rPr>
        <w:t>分布式守卫由RedisRequestLimiter提供三个原子能力：固定窗口限流、滑动窗口限流和带令牌的并发租约。通用API按来源地址分为一般、登录注册和上传三组额度；AI按用户使用滑动窗口，并用SET NX PX占用并发槽位。所有Lua脚本一次执行，避免并发请求在读取与写入之间穿透限制。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96128" cy="2830982"/>
            <wp:docPr id="44" name="Picture 44" descr="Image: image4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is_request_flo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96128" cy="283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  <w:jc w:val="center"/>
      </w:pPr>
      <w:r>
        <w:rPr>
          <w:rFonts w:ascii="宋体" w:hAnsi="宋体" w:eastAsia="宋体"/>
          <w:sz w:val="24"/>
        </w:rPr>
        <w:t>图4-4 接口限流与AI并发控制流程</w:t>
      </w:r>
    </w:p>
    <w:p>
      <w:pPr>
        <w:pStyle w:val="164"/>
      </w:pPr>
      <w:r>
        <w:rPr>
          <w:rFonts w:ascii="宋体" w:hAnsi="宋体" w:eastAsia="宋体"/>
          <w:sz w:val="24"/>
        </w:rPr>
        <w:t>资料浏览量是最明显的热点写场景。通过权限校验后，浏览增量先写入Redis Hash，详情返回值合并MySQL基数和待回写增量。定时任务每30秒获取带令牌的分布式锁，再用Lua原子取走一个批次并逐项回写；单项失败只把对应增量重新放回pending。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96128" cy="2962656"/>
            <wp:docPr id="45" name="Picture 45" descr="Image: image4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nt_view_flow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6128" cy="296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  <w:jc w:val="center"/>
      </w:pPr>
      <w:r>
        <w:rPr>
          <w:rFonts w:ascii="宋体" w:hAnsi="宋体" w:eastAsia="宋体"/>
          <w:sz w:val="24"/>
        </w:rPr>
        <w:t>图4-5 学习资料浏览量缓冲与回写流程</w:t>
      </w:r>
    </w:p>
    <w:p>
      <w:pPr>
        <w:pStyle w:val="164"/>
      </w:pPr>
      <w:r>
        <w:rPr>
          <w:rFonts w:ascii="宋体" w:hAnsi="宋体" w:eastAsia="宋体"/>
          <w:sz w:val="24"/>
        </w:rPr>
        <w:t>考试开始后，答卷编号和截止时间写入Redis ZSET。调度器每5秒使用Lua原子领取到期答卷，一次最多处理100条；处理失败延迟5秒重新入队。Redis异常时立即扫描MySQL，Redis正常时也每12轮执行一次数据库对账，补偿重启或短暂写入失败。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96128" cy="2962656"/>
            <wp:docPr id="46" name="Picture 46" descr="Image: image4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_timeout_flow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96128" cy="296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  <w:jc w:val="center"/>
      </w:pPr>
      <w:r>
        <w:rPr>
          <w:rFonts w:ascii="宋体" w:hAnsi="宋体" w:eastAsia="宋体"/>
          <w:sz w:val="24"/>
        </w:rPr>
        <w:t>图4-6 考试超时交卷调度流程</w:t>
      </w:r>
    </w:p>
    <w:tbl>
      <w:tblPr>
        <w:tblStyle w:val="3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D6E9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机制</w:t>
            </w:r>
          </w:p>
        </w:tc>
        <w:tc>
          <w:tcPr>
            <w:tcW w:type="dxa" w:w="324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D6E9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默认配置</w:t>
            </w:r>
          </w:p>
        </w:tc>
        <w:tc>
          <w:tcPr>
            <w:tcW w:type="dxa" w:w="3744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D6E9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异常处理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API固定窗口</w:t>
            </w:r>
          </w:p>
        </w:tc>
        <w:tc>
          <w:tcPr>
            <w:tcW w:type="dxa" w:w="324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一般600、认证30、上传30次/分钟</w:t>
            </w:r>
          </w:p>
        </w:tc>
        <w:tc>
          <w:tcPr>
            <w:tcW w:type="dxa" w:w="3744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返回429；Redis异常退回本机计数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AI滑动窗口</w:t>
            </w:r>
          </w:p>
        </w:tc>
        <w:tc>
          <w:tcPr>
            <w:tcW w:type="dxa" w:w="324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每用户60秒10次</w:t>
            </w:r>
          </w:p>
        </w:tc>
        <w:tc>
          <w:tcPr>
            <w:tcW w:type="dxa" w:w="3744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超限拒绝；Redis异常退回本机窗口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AI并发租约</w:t>
            </w:r>
          </w:p>
        </w:tc>
        <w:tc>
          <w:tcPr>
            <w:tcW w:type="dxa" w:w="324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每用户1个并发槽</w:t>
            </w:r>
          </w:p>
        </w:tc>
        <w:tc>
          <w:tcPr>
            <w:tcW w:type="dxa" w:w="3744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令牌比较删除；异常依靠TTL回收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认证快照</w:t>
            </w:r>
          </w:p>
        </w:tc>
        <w:tc>
          <w:tcPr>
            <w:tcW w:type="dxa" w:w="324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60秒</w:t>
            </w:r>
          </w:p>
        </w:tc>
        <w:tc>
          <w:tcPr>
            <w:tcW w:type="dxa" w:w="3744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写失败不影响认证，直接查询用户与角色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授权判定</w:t>
            </w:r>
          </w:p>
        </w:tc>
        <w:tc>
          <w:tcPr>
            <w:tcW w:type="dxa" w:w="324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30秒</w:t>
            </w:r>
          </w:p>
        </w:tc>
        <w:tc>
          <w:tcPr>
            <w:tcW w:type="dxa" w:w="3744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未知权限绝不放行，必须回查数据库</w:t>
            </w:r>
          </w:p>
        </w:tc>
      </w:tr>
    </w:tbl>
    <w:p>
      <w:pPr>
        <w:pStyle w:val="15"/>
        <w:jc w:val="center"/>
      </w:pPr>
      <w:r>
        <w:rPr>
          <w:rFonts w:ascii="宋体" w:hAnsi="宋体" w:eastAsia="宋体"/>
          <w:sz w:val="24"/>
        </w:rPr>
        <w:t>表4-1 Redis关键配置与降级方式</w:t>
      </w:r>
    </w:p>
    <w:p w14:paraId="3FEF2388">
      <w:pPr>
        <w:pStyle w:val="167"/>
        <w:keepNext/>
      </w:pPr>
      <w:r>
        <w:rPr>
          <w:rFonts w:ascii="宋体" w:hAnsi="宋体" w:eastAsia="宋体"/>
          <w:sz w:val="24"/>
        </w:rPr>
        <w:t>3、学习资料模块</w:t>
      </w:r>
    </w:p>
    <w:p w14:paraId="40684B69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发布者可以编写Markdown正文，上传封面和附件，并设置公开、班级或付费访问。资料提交后由管理员审核，通过后才能正式发布。</w:t>
      </w:r>
    </w:p>
    <w:p w14:paraId="22F001C4">
      <w:pPr>
        <w:keepNext/>
        <w:spacing w:after="0"/>
        <w:jc w:val="center"/>
      </w:pPr>
      <w:r>
        <w:drawing>
          <wp:inline distT="0" distB="0" distL="114300" distR="114300">
            <wp:extent cx="5219700" cy="2134235"/>
            <wp:effectExtent l="0" t="0" r="0" b="0"/>
            <wp:docPr id="10" name="Picture 10" descr="图4-4 学习资料模块类图" title="图4-4 学习资料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图4-4 学习资料模块类图" title="图4-4 学习资料模块类图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3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35322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图4-7 学习资料模块类图</w:t>
      </w:r>
    </w:p>
    <w:p w14:paraId="244475F2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学习资料服务分为创建编辑、查询访问、审核发布和学习行为几部分。Controller只负责接收参数和返回结果，访问条件由ContentAccessService统一判断。班级权限和购买权益判断使用30秒Redis判定缓存，键中同时带用户版本和资源版本；浏览量由ContentViewCountService先缓冲到Redis，避免列表页、详情页和文件下载各自重复查询或高频更新同一数据库行。</w:t>
      </w:r>
    </w:p>
    <w:p w14:paraId="39D9E677">
      <w:pPr>
        <w:keepNext/>
        <w:spacing w:after="0"/>
        <w:jc w:val="center"/>
      </w:pPr>
      <w:r>
        <w:drawing>
          <wp:inline distT="0" distB="0" distL="114300" distR="114300">
            <wp:extent cx="5219700" cy="2855595"/>
            <wp:effectExtent l="0" t="0" r="0" b="0"/>
            <wp:docPr id="11" name="Picture 11" descr="图4-5 学习资料发布与审核时序图" title="图4-5 学习资料发布与审核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图4-5 学习资料发布与审核时序图" title="图4-5 学习资料发布与审核时序图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8ECA9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图4-8 学习资料发布与审核时序图</w:t>
      </w:r>
    </w:p>
    <w:p w14:paraId="464C5910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访问资料时先检查发布状态，再检查公开、班级或权益条件。</w:t>
      </w:r>
    </w:p>
    <w:p w14:paraId="4CD26AF6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学习进度、收藏、点赞和评论分别保存，便于后续统计。</w:t>
      </w:r>
    </w:p>
    <w:p w14:paraId="59804B18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文件统一由MinIO保存，数据库只记录文件信息和访问地址。</w:t>
      </w:r>
    </w:p>
    <w:p w14:paraId="4E574678">
      <w:pPr>
        <w:pStyle w:val="167"/>
        <w:keepNext/>
      </w:pPr>
      <w:r>
        <w:rPr>
          <w:rFonts w:ascii="宋体" w:hAnsi="宋体" w:eastAsia="宋体"/>
          <w:sz w:val="24"/>
        </w:rPr>
        <w:t>4、学习资料页面实现</w:t>
      </w:r>
    </w:p>
    <w:p w14:paraId="3E5C435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页面覆盖了普通用户浏览和学习、发布者编辑发布、管理员审核等主要流程。以下页面来自项目设计报告中的实际系统截图，并按流程逐张展示。</w:t>
      </w:r>
    </w:p>
    <w:p w14:paraId="62E15F56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12" name="Picture 12" descr="图4-6 学习资料列表页面" title="图4-6 学习资料列表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图4-6 学习资料列表页面" title="图4-6 学习资料列表页面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36BA8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图4-9 学习资料列表页面</w:t>
      </w:r>
    </w:p>
    <w:p w14:paraId="173C23A3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13" name="Picture 13" descr="图4-7 学习资料详情与学习页面" title="图4-7 学习资料详情与学习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图4-7 学习资料详情与学习页面" title="图4-7 学习资料详情与学习页面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97FC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图4-10 学习资料详情与学习页面</w:t>
      </w:r>
    </w:p>
    <w:p w14:paraId="2A5C1D5E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14" name="Picture 14" descr="图4-8 发布者资料工作台" title="图4-8 发布者资料工作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图4-8 发布者资料工作台" title="图4-8 发布者资料工作台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8D278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图4-11 发布者资料工作台</w:t>
      </w:r>
    </w:p>
    <w:p w14:paraId="56143793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15" name="Picture 15" descr="图4-9 学习资料编辑与文件上传页面" title="图4-9 学习资料编辑与文件上传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图4-9 学习资料编辑与文件上传页面" title="图4-9 学习资料编辑与文件上传页面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1356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图4-12 学习资料编辑与文件上传页面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0B28E8DB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BC9A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页面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A3C8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检查重点</w:t>
            </w:r>
          </w:p>
        </w:tc>
      </w:tr>
      <w:tr w14:paraId="20640512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BD94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资料列表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2D25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分类、搜索、状态和访问入口。</w:t>
            </w:r>
          </w:p>
        </w:tc>
      </w:tr>
      <w:tr w14:paraId="47C45A9B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36DC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资料详情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C09F4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Markdown显示、附件、互动和学习进度。</w:t>
            </w:r>
          </w:p>
        </w:tc>
      </w:tr>
      <w:tr w14:paraId="69E0F371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6EAA2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发布页面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A4F56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标题、摘要、正文、封面和访问方式。</w:t>
            </w:r>
          </w:p>
        </w:tc>
      </w:tr>
      <w:tr w14:paraId="362DBE06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E988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审核页面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4B1B8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待审核列表、详情、通过或驳回。</w:t>
            </w:r>
          </w:p>
        </w:tc>
      </w:tr>
    </w:tbl>
    <w:p w14:paraId="2D247F3B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表4-2 学习资料页面检查重点</w:t>
      </w:r>
    </w:p>
    <w:p w14:paraId="39B90587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Markdown内容显示前会经过安全处理。封面、正文文件、视频、附件和字幕分别配置扩展名和大小限制，浏览器选择文件时先检查，后端再按扩展名、MIME和文件头复查。</w:t>
      </w:r>
    </w:p>
    <w:p w14:paraId="69A2491B">
      <w:pPr>
        <w:pStyle w:val="167"/>
        <w:keepNext/>
      </w:pPr>
      <w:r>
        <w:rPr>
          <w:rFonts w:ascii="宋体" w:hAnsi="宋体" w:eastAsia="宋体"/>
          <w:sz w:val="24"/>
        </w:rPr>
        <w:t>5、题库与在线考试模块</w:t>
      </w:r>
    </w:p>
    <w:p w14:paraId="17E2A35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发布者先维护题库和题目，再组成试卷并发布考试。系统支持单选、多选、判断、填空和简答五类题目，也支持指定考生或班级参加。</w:t>
      </w:r>
    </w:p>
    <w:p w14:paraId="34EE680E">
      <w:pPr>
        <w:keepNext/>
        <w:spacing w:after="0"/>
        <w:jc w:val="center"/>
      </w:pPr>
      <w:r>
        <w:drawing>
          <wp:inline distT="0" distB="0" distL="114300" distR="114300">
            <wp:extent cx="5219700" cy="1163320"/>
            <wp:effectExtent l="0" t="0" r="0" b="0"/>
            <wp:docPr id="16" name="Picture 16" descr="图4-10 在线考试模块类图" title="图4-10 在线考试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图4-10 在线考试模块类图" title="图4-10 在线考试模块类图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163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1DB1D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图4-13 在线考试模块类图</w:t>
      </w:r>
    </w:p>
    <w:p w14:paraId="60359ED7">
      <w:pPr>
        <w:keepNext/>
        <w:spacing w:after="0"/>
        <w:jc w:val="center"/>
      </w:pPr>
      <w:r>
        <w:drawing>
          <wp:inline distT="0" distB="0" distL="114300" distR="114300">
            <wp:extent cx="5219700" cy="2998470"/>
            <wp:effectExtent l="0" t="0" r="0" b="0"/>
            <wp:docPr id="17" name="Picture 17" descr="图4-11 作答、交卷与评分时序图" title="图4-11 作答、交卷与评分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图4-11 作答、交卷与评分时序图" title="图4-11 作答、交卷与评分时序图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A543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图4-14 作答、交卷与评分时序图</w:t>
      </w:r>
    </w:p>
    <w:p w14:paraId="351FAF4F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作答过程中答案持续写入MySQL，并把最近保存时间写入Redis短期状态。截止时间进入ZSET索引，到达时间后由调度器快速领取并自动交卷。客观题自动评分，主观题进入人工阅卷，全部完成后生成最终成绩；最终答案和成绩从不只保存在Redis中。</w:t>
      </w:r>
    </w:p>
    <w:p w14:paraId="671BDD6E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考生接口使用不含正确答案、解析和选项正确标记的专用响应模型。只有考试结束、阅卷完成并且发布者允许展示时，成绩页面才会返回答案和解析，从数据源头避免提前泄题。</w:t>
      </w:r>
    </w:p>
    <w:p w14:paraId="353CD09E">
      <w:pPr>
        <w:pStyle w:val="167"/>
        <w:keepNext/>
      </w:pPr>
      <w:r>
        <w:rPr>
          <w:rFonts w:ascii="宋体" w:hAnsi="宋体" w:eastAsia="宋体"/>
          <w:sz w:val="24"/>
        </w:rPr>
        <w:t>6、发布者考试管理页面</w:t>
      </w:r>
    </w:p>
    <w:p w14:paraId="626B01D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发布者工作台集中放置题库、组卷、考试发布和阅卷功能，减少在多个入口之间切换。</w:t>
      </w:r>
    </w:p>
    <w:p w14:paraId="379899D3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18" name="Picture 18" descr="图4-12 题库管理页面" title="图4-12 题库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图4-12 题库管理页面" title="图4-12 题库管理页面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0B5C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图4-15 题库管理页面</w:t>
      </w:r>
    </w:p>
    <w:p w14:paraId="763AC7E6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19" name="Picture 19" descr="图4-13 固定试卷管理页面" title="图4-13 固定试卷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图4-13 固定试卷管理页面" title="图4-13 固定试卷管理页面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383AA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图4-16 固定试卷管理页面</w:t>
      </w:r>
    </w:p>
    <w:p w14:paraId="142E44AD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0" name="Picture 20" descr="图4-14 考试发布管理页面" title="图4-14 考试发布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图4-14 考试发布管理页面" title="图4-14 考试发布管理页面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9DDB7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图4-17 考试发布管理页面</w:t>
      </w:r>
    </w:p>
    <w:p w14:paraId="3D41513F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1" name="Picture 21" descr="图4-15 人工阅卷页面" title="图4-15 人工阅卷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图4-15 人工阅卷页面" title="图4-15 人工阅卷页面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F6F3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图4-18 人工阅卷页面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6500"/>
      </w:tblGrid>
      <w:tr w14:paraId="1F69037F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F061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功能</w:t>
            </w:r>
          </w:p>
        </w:tc>
        <w:tc>
          <w:tcPr>
            <w:tcW w:w="65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3C7E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主要处理</w:t>
            </w:r>
          </w:p>
        </w:tc>
      </w:tr>
      <w:tr w14:paraId="05E2C156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A5C88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题库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5876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维护题目类型、题干、选项、答案和分值。</w:t>
            </w:r>
          </w:p>
        </w:tc>
      </w:tr>
      <w:tr w14:paraId="45EA48CA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61E4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组卷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84E9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选择题目并计算总分，形成可复用试卷。</w:t>
            </w:r>
          </w:p>
        </w:tc>
      </w:tr>
      <w:tr w14:paraId="1164ECC7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C71A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发布</w:t>
            </w:r>
          </w:p>
        </w:tc>
        <w:tc>
          <w:tcPr>
            <w:tcW w:w="6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B46E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设置考试时间、参加范围和试卷。</w:t>
            </w:r>
          </w:p>
        </w:tc>
      </w:tr>
      <w:tr w14:paraId="3CAA723F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E261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阅卷</w:t>
            </w:r>
          </w:p>
        </w:tc>
        <w:tc>
          <w:tcPr>
            <w:tcW w:w="65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D8C1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查看待批主观题，保存得分和评语。</w:t>
            </w:r>
          </w:p>
        </w:tc>
      </w:tr>
    </w:tbl>
    <w:p w14:paraId="477F92F6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表4-3 发布者考试功能</w:t>
      </w:r>
    </w:p>
    <w:p w14:paraId="05B5DFC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组卷时系统保存题目顺序和分值，并检查总分。考试发布时记录试卷快照、开始和截止时间以及参加范围，重复发布不会重复扣减考试发布权益。</w:t>
      </w:r>
    </w:p>
    <w:p w14:paraId="707C2A84">
      <w:pPr>
        <w:pStyle w:val="167"/>
        <w:keepNext/>
      </w:pPr>
      <w:r>
        <w:rPr>
          <w:rFonts w:ascii="宋体" w:hAnsi="宋体" w:eastAsia="宋体"/>
          <w:sz w:val="24"/>
        </w:rPr>
        <w:t>7、考生作答与成绩统计</w:t>
      </w:r>
    </w:p>
    <w:p w14:paraId="25B50369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考生进入考试后可以查看剩余时间、题目导航和当前答案。交卷后根据考试状态显示等待阅卷或最终成绩，发布者可以查看成绩分布和答题情况。</w:t>
      </w:r>
    </w:p>
    <w:p w14:paraId="294AB372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22" name="Picture 22" descr="图4-16 考生考试列表页面" title="图4-16 考生考试列表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图4-16 考生考试列表页面" title="图4-16 考生考试列表页面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DA39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图4-19 考生考试列表页面</w:t>
      </w:r>
    </w:p>
    <w:p w14:paraId="18207070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3" name="Picture 23" descr="图4-17 在线答题页面" title="图4-17 在线答题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图4-17 在线答题页面" title="图4-17 在线答题页面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1C0A6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图4-20 在线答题页面</w:t>
      </w:r>
    </w:p>
    <w:p w14:paraId="7CB3093B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4" name="Picture 24" descr="图4-18 成绩详情页面" title="图4-18 成绩详情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图4-18 成绩详情页面" title="图4-18 成绩详情页面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E56B2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图4-21 成绩详情页面</w:t>
      </w:r>
    </w:p>
    <w:p w14:paraId="723C24E5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25" name="Picture 25" descr="图4-19 考试统计页面" title="图4-19 考试统计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图4-19 考试统计页面" title="图4-19 考试统计页面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72E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图4-22 考试统计页面</w:t>
      </w:r>
    </w:p>
    <w:p w14:paraId="06B48931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已交卷、阅卷中和已完成状态不再显示服务端剩余倒计时。</w:t>
      </w:r>
    </w:p>
    <w:p w14:paraId="5BA4BE2B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客观题、部分得分题和待批主观题分别统计，避免把部分得分算成错误。</w:t>
      </w:r>
    </w:p>
    <w:p w14:paraId="2A724B55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试卷和考试时间统一转换为中文本地时间显示。</w:t>
      </w:r>
    </w:p>
    <w:p w14:paraId="6B0C3DF0">
      <w:pPr>
        <w:pStyle w:val="167"/>
        <w:keepNext/>
      </w:pPr>
      <w:r>
        <w:rPr>
          <w:rFonts w:ascii="宋体" w:hAnsi="宋体" w:eastAsia="宋体"/>
          <w:sz w:val="24"/>
        </w:rPr>
        <w:t>8、商城、订单与权益模块</w:t>
      </w:r>
    </w:p>
    <w:p w14:paraId="151B91E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平台使用模拟支付完成实训场景中的购买流程。订单支付成功后，系统根据商品类型发放资料访问权、AI次数或考试发布次数。</w:t>
      </w:r>
    </w:p>
    <w:p w14:paraId="2E145AB1">
      <w:pPr>
        <w:keepNext/>
        <w:spacing w:after="0"/>
        <w:jc w:val="center"/>
      </w:pPr>
      <w:r>
        <w:drawing>
          <wp:inline distT="0" distB="0" distL="114300" distR="114300">
            <wp:extent cx="5219700" cy="2047875"/>
            <wp:effectExtent l="0" t="0" r="0" b="0"/>
            <wp:docPr id="26" name="Picture 26" descr="图4-20 商城、订单与权益模块类图" title="图4-20 商城、订单与权益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图4-20 商城、订单与权益模块类图" title="图4-20 商城、订单与权益模块类图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4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17527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图4-23 商城、订单与权益模块类图</w:t>
      </w:r>
    </w:p>
    <w:p w14:paraId="0865B3B4">
      <w:pPr>
        <w:keepNext/>
        <w:spacing w:after="0"/>
        <w:jc w:val="center"/>
      </w:pPr>
      <w:r>
        <w:drawing>
          <wp:inline distT="0" distB="0" distL="114300" distR="114300">
            <wp:extent cx="5219700" cy="3570605"/>
            <wp:effectExtent l="0" t="0" r="0" b="0"/>
            <wp:docPr id="27" name="Picture 27" descr="图4-21 支付与权益发放时序图" title="图4-21 支付与权益发放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图4-21 支付与权益发放时序图" title="图4-21 支付与权益发放时序图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7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7E7A3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图4-24 支付与权益发放时序图</w:t>
      </w:r>
    </w:p>
    <w:p w14:paraId="4E880AE1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权益记录包含生效时间和剩余数量。业务接口在使用前检查权益是否有效，使用成功后再扣减，失败时不扣除。</w:t>
      </w:r>
    </w:p>
    <w:p w14:paraId="6DCC15F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订单项保存下单时的商品名称、价格和权益数量，避免商品以后修改导致历史订单变化。支付业务号和订单号都设置唯一约束，同一订单重复调用支付接口时只发放一次权益。</w:t>
      </w:r>
    </w:p>
    <w:p w14:paraId="4D1E529A">
      <w:pPr>
        <w:pStyle w:val="167"/>
        <w:keepNext/>
      </w:pPr>
      <w:r>
        <w:rPr>
          <w:rFonts w:ascii="宋体" w:hAnsi="宋体" w:eastAsia="宋体"/>
          <w:sz w:val="24"/>
        </w:rPr>
        <w:t>9、商城与订单页面</w:t>
      </w:r>
    </w:p>
    <w:p w14:paraId="5D7EF3A6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28" name="Picture 28" descr="图4-22 权益商城页面" title="图4-22 权益商城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图4-22 权益商城页面" title="图4-22 权益商城页面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DEFBB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图4-25 权益商城页面</w:t>
      </w:r>
    </w:p>
    <w:p w14:paraId="79532732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29" name="Picture 29" descr="图4-23 我的订单页面" title="图4-23 我的订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图4-23 我的订单页面" title="图4-23 我的订单页面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BAC6A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图4-26 我的订单页面</w:t>
      </w:r>
    </w:p>
    <w:p w14:paraId="10E04D32">
      <w:pPr>
        <w:keepNext/>
        <w:spacing w:after="0"/>
        <w:jc w:val="center"/>
      </w:pPr>
      <w:r>
        <w:drawing>
          <wp:inline distT="0" distB="0" distL="114300" distR="114300">
            <wp:extent cx="5327650" cy="3134360"/>
            <wp:effectExtent l="0" t="0" r="0" b="0"/>
            <wp:docPr id="30" name="Picture 30" descr="图4-24 我的权益页面" title="图4-24 我的权益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图4-24 我的权益页面" title="图4-24 我的权益页面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1293D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图4-27 我的权益页面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0FFAB23D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BCE53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页面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4D8B24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主要内容</w:t>
            </w:r>
          </w:p>
        </w:tc>
      </w:tr>
      <w:tr w14:paraId="6D0FF2DC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7D08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商城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8EC7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按商品类型筛选，查看价格和权益说明。</w:t>
            </w:r>
          </w:p>
        </w:tc>
      </w:tr>
      <w:tr w14:paraId="055A1451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3A37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订单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8016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查看订单编号、金额、状态和支付结果。</w:t>
            </w:r>
          </w:p>
        </w:tc>
      </w:tr>
      <w:tr w14:paraId="6D3B2BDD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0FA7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权益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62BE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查看资料访问权、AI次数和考试发布次数。</w:t>
            </w:r>
          </w:p>
        </w:tc>
      </w:tr>
    </w:tbl>
    <w:p w14:paraId="6A788F10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表4-4 商城页面内容</w:t>
      </w:r>
    </w:p>
    <w:p w14:paraId="1D0A0502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商城筛选已经改为明确的ALL值，当前浏览器控制台不再出现Element Plus旧属性警告。</w:t>
      </w:r>
    </w:p>
    <w:p w14:paraId="06B93A56">
      <w:pPr>
        <w:pStyle w:val="167"/>
        <w:keepNext/>
      </w:pPr>
      <w:r>
        <w:rPr>
          <w:rFonts w:ascii="宋体" w:hAnsi="宋体" w:eastAsia="宋体"/>
          <w:sz w:val="24"/>
        </w:rPr>
        <w:t>10、AI学习辅助模块</w:t>
      </w:r>
    </w:p>
    <w:p w14:paraId="1E5E7FBB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AI模块为学习资料和考试结果提供补充说明。用户可以生成资料总结、知识讲解、个人考试分析和错题复习，发布者还可以生成整体考试分析。调用前通过Redis ZSET检查滑动窗口次数，再用带随机令牌和TTL的租约限制同一用户并发；任务真正结束后才释放租约，防止超时取消但底层请求仍运行时提前放开并发名额。</w:t>
      </w:r>
    </w:p>
    <w:p w14:paraId="25435E79">
      <w:pPr>
        <w:keepNext/>
        <w:spacing w:after="0"/>
        <w:jc w:val="center"/>
      </w:pPr>
      <w:r>
        <w:drawing>
          <wp:inline distT="0" distB="0" distL="114300" distR="114300">
            <wp:extent cx="5219700" cy="2661285"/>
            <wp:effectExtent l="0" t="0" r="0" b="0"/>
            <wp:docPr id="31" name="Picture 31" descr="图4-25 AI学习辅助模块类图" title="图4-25 AI学习辅助模块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图4-25 AI学习辅助模块类图" title="图4-25 AI学习辅助模块类图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61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E311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图4-28 AI学习辅助模块类图</w:t>
      </w:r>
    </w:p>
    <w:p w14:paraId="5B87CFD4">
      <w:pPr>
        <w:keepNext/>
        <w:spacing w:after="0"/>
        <w:jc w:val="center"/>
      </w:pPr>
      <w:r>
        <w:drawing>
          <wp:inline distT="0" distB="0" distL="114300" distR="114300">
            <wp:extent cx="5219700" cy="3067685"/>
            <wp:effectExtent l="0" t="0" r="0" b="0"/>
            <wp:docPr id="32" name="Picture 32" descr="图4-26 AI总结与额度扣减时序图" title="图4-26 AI总结与额度扣减时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图4-26 AI总结与额度扣减时序图" title="图4-26 AI总结与额度扣减时序图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6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CF3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图4-29 AI总结与额度扣减时序图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652F9D52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B9007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设计点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203D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处理方法</w:t>
            </w:r>
          </w:p>
        </w:tc>
      </w:tr>
      <w:tr w14:paraId="49C0940B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9D3D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调用方式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F536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本地可使用Mock，配置密钥后可接入DeepSeek。</w:t>
            </w:r>
          </w:p>
        </w:tc>
      </w:tr>
      <w:tr w14:paraId="3FC9C012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B5565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额度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5CBC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AI结果成功保存后才扣减使用次数。</w:t>
            </w:r>
          </w:p>
        </w:tc>
      </w:tr>
      <w:tr w14:paraId="712EA8A1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BDD0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缓存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E1E5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相同资料或分析结果可复用，减少重复调用。</w:t>
            </w:r>
          </w:p>
        </w:tc>
      </w:tr>
      <w:tr w14:paraId="2058F9BA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4949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异常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61F2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调用失败返回清楚提示，不影响原有学习和考试数据。</w:t>
            </w:r>
          </w:p>
        </w:tc>
      </w:tr>
    </w:tbl>
    <w:p w14:paraId="4E5CE69F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表4-5 AI模块关键设计</w:t>
      </w:r>
    </w:p>
    <w:p w14:paraId="137EA55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AI调用通过AiClient接口隔离供应商。Mock实现用于本地无外网测试，DeepSeek实现负责真实请求。业务服务不直接依赖某一家模型，因此更换供应商时不需要修改资料、考试和权益模块。</w:t>
      </w:r>
    </w:p>
    <w:p w14:paraId="0C1715D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AI输入被视为不可信文本，系统提示词明确要求模型不要执行资料正文中的指令。调用过程记录任务状态、请求标识和安全错误原因，但日志不保存API Key、JWT或完整敏感正文。</w:t>
      </w:r>
    </w:p>
    <w:p w14:paraId="10C7BDC4">
      <w:pPr>
        <w:pStyle w:val="167"/>
        <w:keepNext/>
      </w:pPr>
      <w:r>
        <w:rPr>
          <w:rFonts w:ascii="宋体" w:hAnsi="宋体" w:eastAsia="宋体"/>
          <w:sz w:val="24"/>
        </w:rPr>
        <w:t>11、班级与线下教学模块</w:t>
      </w:r>
    </w:p>
    <w:p w14:paraId="4757AE5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班级模块支持邀请码加入、多班级、拥有者、班级管理员和普通成员。拥有者可以发布公告、管理成员并把资料或考试发放到班级；班级管理员只能在对应班级内操作，不能获得系统管理员权限。</w:t>
      </w:r>
    </w:p>
    <w:p w14:paraId="3BE20266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资料和考试通过范围关系表与班级关联。用户访问班级资料或参加班级考试时，服务层会检查当前成员状态；成员退出或被移除后，不再继续获得只属于该班级的访问资格。</w:t>
      </w:r>
    </w:p>
    <w:p w14:paraId="3F83FD2C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线下教学模块允许发布者申请成为线下教师。身份证等敏感申请数据与公开教师资料分开保存，敏感字段采用AES-GCM加密并使用HMAC进行重复检查。管理员审核通过后，普通用户只能看到公开资料和可上课时间。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3000"/>
        <w:gridCol w:w="3600"/>
      </w:tblGrid>
      <w:tr w14:paraId="57753832">
        <w:trPr>
          <w:tblHeader/>
          <w:jc w:val="center"/>
        </w:trPr>
        <w:tc>
          <w:tcPr>
            <w:tcW w:w="1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C3924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模块</w:t>
            </w:r>
          </w:p>
        </w:tc>
        <w:tc>
          <w:tcPr>
            <w:tcW w:w="3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40DD8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关键对象</w:t>
            </w:r>
          </w:p>
        </w:tc>
        <w:tc>
          <w:tcPr>
            <w:tcW w:w="36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2D372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主要约束</w:t>
            </w:r>
          </w:p>
        </w:tc>
      </w:tr>
      <w:tr w14:paraId="3627839C">
        <w:trPr>
          <w:cantSplit/>
          <w:jc w:val="center"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07CE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班级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24FB1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班级、成员、班内角色、公告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EF9A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班级身份只在本班生效。</w:t>
            </w:r>
          </w:p>
        </w:tc>
      </w:tr>
      <w:tr w14:paraId="6A4F4B66">
        <w:trPr>
          <w:cantSplit/>
          <w:jc w:val="center"/>
        </w:trPr>
        <w:tc>
          <w:tcPr>
            <w:tcW w:w="1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6285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班级资料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151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资料范围、成员状态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78D1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离开班级后失去班级专属访问。</w:t>
            </w:r>
          </w:p>
        </w:tc>
      </w:tr>
      <w:tr w14:paraId="131CB355">
        <w:trPr>
          <w:cantSplit/>
          <w:jc w:val="center"/>
        </w:trPr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14595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班级考试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AA68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考试范围、考生资格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7F87C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进入考试前再次检查成员资格。</w:t>
            </w:r>
          </w:p>
        </w:tc>
      </w:tr>
      <w:tr w14:paraId="72967410">
        <w:trPr>
          <w:cantSplit/>
          <w:jc w:val="center"/>
        </w:trPr>
        <w:tc>
          <w:tcPr>
            <w:tcW w:w="1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26E8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线下教师</w:t>
            </w:r>
          </w:p>
        </w:tc>
        <w:tc>
          <w:tcPr>
            <w:tcW w:w="3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65E8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申请、公开资料、学生偏好</w:t>
            </w:r>
          </w:p>
        </w:tc>
        <w:tc>
          <w:tcPr>
            <w:tcW w:w="36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1C93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敏感申请数据不对普通用户返回。</w:t>
            </w:r>
          </w:p>
        </w:tc>
      </w:tr>
    </w:tbl>
    <w:p w14:paraId="56E46F68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表4-6 班级与线下教学设计</w:t>
      </w:r>
    </w:p>
    <w:p w14:paraId="54C2D638">
      <w:pPr>
        <w:pStyle w:val="167"/>
        <w:keepNext/>
      </w:pPr>
      <w:r>
        <w:rPr>
          <w:rFonts w:ascii="宋体" w:hAnsi="宋体" w:eastAsia="宋体"/>
          <w:sz w:val="24"/>
        </w:rPr>
        <w:t>12、前后端代码组织</w:t>
      </w:r>
    </w:p>
    <w:p w14:paraId="55B6DFAC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后端按业务域分包，每个领域通常包含domain、dto、mapper、service和web。Redis公共能力集中在common/redis，认证快照位于auth/security，浏览量缓冲位于content/service，考试运行态位于exam/service。阅读代码时可以从Controller进入Service，再沿依赖找到缓存组件、Mapper和领域对象，复杂并发规则优先结合测试理解。</w:t>
      </w:r>
    </w:p>
    <w:p w14:paraId="58550197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前端从router找到页面，在views中查看页面编排，再查api和types。Pinia的auth状态保存当前用户和初始化结果，路由守卫根据登录状态和角色决定是否允许进入页面。公共Markdown、上传和答题处理放在components与utils中复用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6000"/>
      </w:tblGrid>
      <w:tr w14:paraId="17359E11">
        <w:trPr>
          <w:tblHeader/>
          <w:jc w:val="center"/>
        </w:trPr>
        <w:tc>
          <w:tcPr>
            <w:tcW w:w="2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CB2BAA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代码层次</w:t>
            </w:r>
          </w:p>
        </w:tc>
        <w:tc>
          <w:tcPr>
            <w:tcW w:w="60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2AB27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主要职责</w:t>
            </w:r>
          </w:p>
        </w:tc>
      </w:tr>
      <w:tr w14:paraId="5E984270">
        <w:trPr>
          <w:cantSplit/>
          <w:jc w:val="center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FF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Controller / views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F248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接收输入、组织页面或接口响应，不承担复杂业务判断。</w:t>
            </w:r>
          </w:p>
        </w:tc>
      </w:tr>
      <w:tr w14:paraId="3ECDDD76">
        <w:trPr>
          <w:cantSplit/>
          <w:jc w:val="center"/>
        </w:trPr>
        <w:tc>
          <w:tcPr>
            <w:tcW w:w="2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408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Service / api</w:t>
            </w:r>
          </w:p>
        </w:tc>
        <w:tc>
          <w:tcPr>
            <w:tcW w:w="6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0E45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后端Service执行权限、事务和规则；前端api统一访问接口。</w:t>
            </w:r>
          </w:p>
        </w:tc>
      </w:tr>
      <w:tr w14:paraId="040DCDA7">
        <w:trPr>
          <w:cantSplit/>
          <w:jc w:val="center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1F3CB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Mapper / types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48DC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Mapper执行参数化SQL；types定义前后端数据契约。</w:t>
            </w:r>
          </w:p>
        </w:tc>
      </w:tr>
      <w:tr w14:paraId="2A2801EF">
        <w:trPr>
          <w:cantSplit/>
          <w:jc w:val="center"/>
        </w:trPr>
        <w:tc>
          <w:tcPr>
            <w:tcW w:w="2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26C6B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common / utils</w:t>
            </w:r>
          </w:p>
        </w:tc>
        <w:tc>
          <w:tcPr>
            <w:tcW w:w="60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7B08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统一响应、异常、traceId、上传规则和通用纯函数。</w:t>
            </w:r>
          </w:p>
        </w:tc>
      </w:tr>
    </w:tbl>
    <w:p w14:paraId="3715C753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表4-7 前后端代码层次</w:t>
      </w:r>
    </w:p>
    <w:p w14:paraId="2563FF77">
      <w:pPr>
        <w:pStyle w:val="167"/>
        <w:keepNext/>
      </w:pPr>
      <w:r>
        <w:rPr>
          <w:rFonts w:ascii="宋体" w:hAnsi="宋体" w:eastAsia="宋体"/>
          <w:sz w:val="24"/>
        </w:rPr>
        <w:t>13、安全与异常处理</w:t>
      </w:r>
    </w:p>
    <w:p w14:paraId="4CC203F0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系统使用MyBatis参数绑定，用户输入不通过字符串拼接进入SQL。资料、评论和题目默认由Vue文本插值渲染；AI Markdown使用v-html时先经过DOMPurify标签、属性和URL协议白名单净化。</w:t>
      </w:r>
    </w:p>
    <w:p w14:paraId="77814723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接口同时检查系统角色和资源归属。普通用户不能读取其他人的订单、权益或AI会话，非发布者不能修改他人资料和考试。管理员操作也有边界，例如当前管理员不能禁用自己的账号。</w:t>
      </w:r>
    </w:p>
    <w:p w14:paraId="4C1E9F6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文件上传按用途检查扩展名、MIME和文件头，服务端重新生成对象名，MinIO使用私有桶和短期签名地址。超过大小限制时返回HTTP 413和明确业务码，前端显示具体提示。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3EF2D71F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6887C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安全点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4C1C0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实现方式</w:t>
            </w:r>
          </w:p>
        </w:tc>
      </w:tr>
      <w:tr w14:paraId="04FAAF8F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935BFB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SQL注入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4EEE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MyBatis使用参数绑定，分页、状态和枚举经过校验。</w:t>
            </w:r>
          </w:p>
        </w:tc>
      </w:tr>
      <w:tr w14:paraId="43BAAAEE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C152D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XSS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00D6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普通文本转义，AI Markdown经DOMPurify净化并配合CSP。</w:t>
            </w:r>
          </w:p>
        </w:tc>
      </w:tr>
      <w:tr w14:paraId="43051062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62D7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越权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784C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Spring Security角色校验，Service再次检查资源归属。</w:t>
            </w:r>
          </w:p>
        </w:tc>
      </w:tr>
      <w:tr w14:paraId="5B7017AF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26259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答案泄露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F7A0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考生DTO不返回答案，满足展示条件后才开放解析。</w:t>
            </w:r>
          </w:p>
        </w:tc>
      </w:tr>
      <w:tr w14:paraId="7671BF08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AFB7F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敏感信息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653E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密码BCrypt，身份证加密，日志不记录密钥和正文。</w:t>
            </w:r>
          </w:p>
        </w:tc>
      </w:tr>
      <w:tr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0"/>
              </w:rPr>
              <w:t>Redis安全边界</w:t>
            </w:r>
          </w:p>
        </w:tc>
        <w:tc>
          <w:tcPr>
            <w:tcW w:type="dxa" w:w="64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F6F8FB"/>
          </w:tcPr>
          <w:p>
            <w:pPr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不缓存密码、JWT、身份证号或AI密钥；权限缓存失败必须回查数据库。</w:t>
            </w:r>
          </w:p>
        </w:tc>
      </w:tr>
    </w:tbl>
    <w:p w14:paraId="7B3C8D48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表4-8 主要安全控制</w:t>
      </w:r>
    </w:p>
    <w:p w14:paraId="10C21BBD">
      <w:r>
        <w:rPr>
          <w:rFonts w:ascii="Times New Roman" w:hAnsi="Times New Roman" w:eastAsia="Heiti SC"/>
          <w:b/>
          <w:sz w:val="32"/>
        </w:rPr>
        <w:t>五、系统页面展示</w:t>
      </w:r>
    </w:p>
    <w:p w14:paraId="39B4859E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1、管理后台</w:t>
      </w:r>
    </w:p>
    <w:p w14:paraId="38FE22C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管理员可以在统一后台查看用户、资料、考试、订单、教师申请、AI配置和操作日志。当前管理员不能在前端禁用自己的账号，后端也保留了同样的安全校验。</w:t>
      </w:r>
    </w:p>
    <w:p>
      <w:pPr>
        <w:pStyle w:val="164"/>
      </w:pPr>
      <w:r>
        <w:rPr>
          <w:rFonts w:ascii="宋体" w:hAnsi="宋体" w:eastAsia="宋体"/>
          <w:sz w:val="24"/>
        </w:rPr>
        <w:t>Redis改造主要发生在后端公共层，不改变原有页面入口。用户仍通过相同的首页、资料、考试和管理页面操作，但热点读取、浏览计数和超时交卷会使用新的共享状态与降级逻辑。</w:t>
      </w:r>
    </w:p>
    <w:p w14:paraId="5FAC88FE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33" name="Picture 33" descr="图5-1 管理后台登录页面" title="图5-1 管理后台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图5-1 管理后台登录页面" title="图5-1 管理后台登录页面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FE14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图5-1 管理后台登录页面</w:t>
      </w:r>
    </w:p>
    <w:p w14:paraId="5DDD3006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34" name="Picture 34" descr="图5-2 用户管理页面" title="图5-2 用户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图5-2 用户管理页面" title="图5-2 用户管理页面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460D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图5-2 用户管理页面</w:t>
      </w:r>
    </w:p>
    <w:p w14:paraId="120F4A3F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35" name="Picture 35" descr="图5-3 内容管理页面" title="图5-3 内容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图5-3 内容管理页面" title="图5-3 内容管理页面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6FC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图5-3 内容管理页面</w:t>
      </w:r>
    </w:p>
    <w:p w14:paraId="7F69A75B">
      <w:pPr>
        <w:keepNext/>
        <w:spacing w:after="0"/>
        <w:jc w:val="center"/>
      </w:pPr>
      <w:r>
        <w:drawing>
          <wp:inline distT="0" distB="0" distL="114300" distR="114300">
            <wp:extent cx="5327650" cy="3131820"/>
            <wp:effectExtent l="0" t="0" r="0" b="0"/>
            <wp:docPr id="36" name="Picture 36" descr="图5-4 考试与订单管理页面" title="图5-4 考试与订单管理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图5-4 考试与订单管理页面" title="图5-4 考试与订单管理页面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32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683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图5-4 考试与订单管理页面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003F864F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2724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管理对象</w:t>
            </w:r>
          </w:p>
        </w:tc>
        <w:tc>
          <w:tcPr>
            <w:tcW w:w="64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8DDC2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主要操作</w:t>
            </w:r>
          </w:p>
        </w:tc>
      </w:tr>
      <w:tr w14:paraId="37B69906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061AD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用户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A3F5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查看、启用或禁用其他账号。</w:t>
            </w:r>
          </w:p>
        </w:tc>
      </w:tr>
      <w:tr w14:paraId="25D4E92A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386C0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资料与考试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F7DD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审核、查看状态、处理异常内容。</w:t>
            </w:r>
          </w:p>
        </w:tc>
      </w:tr>
      <w:tr w14:paraId="23E2DE4E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A35402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订单与权益</w:t>
            </w:r>
          </w:p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1E60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查询订单和权益发放情况。</w:t>
            </w:r>
          </w:p>
        </w:tc>
      </w:tr>
      <w:tr w14:paraId="0D0CDC61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6265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日志</w:t>
            </w:r>
          </w:p>
        </w:tc>
        <w:tc>
          <w:tcPr>
            <w:tcW w:w="64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0791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20"/>
              </w:rPr>
              <w:t>记录关键管理操作，便于追查。</w:t>
            </w:r>
          </w:p>
        </w:tc>
      </w:tr>
    </w:tbl>
    <w:p w14:paraId="42D10E84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表5-1 管理后台主要操作</w:t>
      </w:r>
    </w:p>
    <w:p w14:paraId="5351EBC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高风险管理操作保留二次确认，例如角色调整、内容下架和考试处理。后端统一记录管理员、操作类型、对象和时间，便于出现问题后查询。</w:t>
      </w:r>
    </w:p>
    <w:p w14:paraId="18BD10D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2、当前版本公开页面</w:t>
      </w:r>
    </w:p>
    <w:p w14:paraId="4759C98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以下截图由当前项目实际启动后采集。首页显示后端服务连接正常，登录和注册页面能够正常打开，页面布局和主要文字显示正确。</w:t>
      </w:r>
    </w:p>
    <w:p w14:paraId="547923CE">
      <w:pPr>
        <w:keepNext/>
        <w:spacing w:after="0"/>
        <w:jc w:val="center"/>
      </w:pPr>
      <w:r>
        <w:drawing>
          <wp:inline distT="0" distB="0" distL="114300" distR="114300">
            <wp:extent cx="5327650" cy="2996565"/>
            <wp:effectExtent l="0" t="0" r="0" b="0"/>
            <wp:docPr id="37" name="Picture 37" descr="图5-5 2026年7月28日实测首页" title="图5-5 2026年7月28日实测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图5-5 2026年7月28日实测首页" title="图5-5 2026年7月28日实测首页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FA1D1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图5-5 2026年7月28日实测首页</w:t>
      </w:r>
    </w:p>
    <w:p w14:paraId="5A4C90E8">
      <w:pPr>
        <w:keepNext/>
        <w:spacing w:after="0"/>
        <w:jc w:val="center"/>
      </w:pPr>
      <w:r>
        <w:drawing>
          <wp:inline distT="0" distB="0" distL="114300" distR="114300">
            <wp:extent cx="5327650" cy="2996565"/>
            <wp:effectExtent l="0" t="0" r="0" b="0"/>
            <wp:docPr id="38" name="Picture 38" descr="图5-6 2026年7月28日实测登录页面" title="图5-6 2026年7月28日实测登录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图5-6 2026年7月28日实测登录页面" title="图5-6 2026年7月28日实测登录页面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65FD8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图5-6 2026年7月28日实测登录页面</w:t>
      </w:r>
    </w:p>
    <w:p w14:paraId="6F629BF0">
      <w:pPr>
        <w:keepNext/>
        <w:spacing w:after="0"/>
        <w:jc w:val="center"/>
      </w:pPr>
      <w:r>
        <w:drawing>
          <wp:inline distT="0" distB="0" distL="114300" distR="114300">
            <wp:extent cx="5327650" cy="3250565"/>
            <wp:effectExtent l="0" t="0" r="0" b="0"/>
            <wp:docPr id="39" name="Picture 39" descr="图5-7 2026年7月28日实测注册页面" title="图5-7 2026年7月28日实测注册页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图5-7 2026年7月28日实测注册页面" title="图5-7 2026年7月28日实测注册页面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5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CE8A9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图5-7 2026年7月28日实测注册页面</w:t>
      </w:r>
    </w:p>
    <w:p w14:paraId="1F54A5A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需要登录的学习、考试、AI和班级页面由路由守卫保护，未登录访问时会自动转到登录页面。</w:t>
      </w:r>
    </w:p>
    <w:p w14:paraId="6B79A50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页面设计以PC Web为主，导航栏集中放置首页、学习资料、考试中心和AI学习助手。表单和列表使用统一组件，加载、空数据、失败和无权限状态都有对应提示。</w:t>
      </w:r>
    </w:p>
    <w:p w14:paraId="754FFB05">
      <w:r>
        <w:rPr>
          <w:rFonts w:ascii="Times New Roman" w:hAnsi="Times New Roman" w:eastAsia="Heiti SC"/>
          <w:b/>
          <w:sz w:val="32"/>
        </w:rPr>
        <w:t>六、测试结果</w:t>
      </w:r>
    </w:p>
    <w:p w14:paraId="1EF787F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1、测试环境与测试方法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6400"/>
      </w:tblGrid>
      <w:tr w14:paraId="174FD3E8">
        <w:trPr>
          <w:tblHeader/>
          <w:jc w:val="center"/>
          <w:cantSplit/>
        </w:trPr>
        <w:tc>
          <w:tcPr>
            <w:tcW w:w="1800" w:type="dxa"/>
            <w:shd w:val="clear" w:color="auto" w:fill="D9EAF7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68FBBEB"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项目</w:t>
            </w:r>
          </w:p>
        </w:tc>
        <w:tc>
          <w:tcPr>
            <w:tcW w:w="6400" w:type="dxa"/>
            <w:shd w:val="clear" w:color="auto" w:fill="D9EAF7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04C3E86A"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测试环境或方法</w:t>
            </w:r>
          </w:p>
        </w:tc>
      </w:tr>
      <w:tr w14:paraId="69F83919">
        <w:trPr>
          <w:cantSplit/>
          <w:jc w:val="center"/>
        </w:trPr>
        <w:tc>
          <w:tcPr>
            <w:tcW w:w="18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52F8B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操作系统</w:t>
            </w:r>
          </w:p>
        </w:tc>
        <w:tc>
          <w:tcPr>
            <w:tcW w:w="64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1E06A38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macOS，本地开发环境。</w:t>
            </w:r>
          </w:p>
        </w:tc>
      </w:tr>
      <w:tr w14:paraId="0C0D1CB7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4D26E23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后端</w:t>
            </w:r>
          </w:p>
        </w:tc>
        <w:tc>
          <w:tcPr>
            <w:tcW w:w="64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28B37276"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JDK 21、Spring Boot，执行41个套件共181项自动化测试。</w:t>
            </w:r>
          </w:p>
        </w:tc>
      </w:tr>
      <w:tr w14:paraId="1203B6B2">
        <w:trPr>
          <w:cantSplit/>
          <w:jc w:val="center"/>
        </w:trPr>
        <w:tc>
          <w:tcPr>
            <w:tcW w:w="18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A4885F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前端</w:t>
            </w:r>
          </w:p>
        </w:tc>
        <w:tc>
          <w:tcPr>
            <w:tcW w:w="64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1DD2EE30"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Node.js、Vue 3，执行17项单元测试、类型检查和正式构建。</w:t>
            </w:r>
          </w:p>
        </w:tc>
      </w:tr>
      <w:tr w14:paraId="154E1679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47AC9EB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数据库</w:t>
            </w:r>
          </w:p>
        </w:tc>
        <w:tc>
          <w:tcPr>
            <w:tcW w:w="64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7DDB2449"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MySQL 8；按最新基础建库说明检查38张业务表。</w:t>
            </w:r>
          </w:p>
        </w:tc>
      </w:tr>
      <w:tr w14:paraId="51920B5F">
        <w:trPr>
          <w:cantSplit/>
          <w:jc w:val="center"/>
        </w:trPr>
        <w:tc>
          <w:tcPr>
            <w:tcW w:w="18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09BF813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页面</w:t>
            </w:r>
          </w:p>
        </w:tc>
        <w:tc>
          <w:tcPr>
            <w:tcW w:w="64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4CEAC5B0"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浏览器回归首页、登录、注册及关键业务页面。</w:t>
            </w:r>
          </w:p>
        </w:tc>
      </w:tr>
      <w:tr w14:paraId="3A00D96E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4115A93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问题复测</w:t>
            </w:r>
          </w:p>
        </w:tc>
        <w:tc>
          <w:tcPr>
            <w:tcW w:w="64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221AD97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按照原手动测试问题清单逐项检查修改结果。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Redis</w:t>
            </w:r>
          </w:p>
        </w:tc>
        <w:tc>
          <w:tcPr>
            <w:tcW w:type="dxa" w:w="640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Redis 7.4-alpine容器健康，实际PING返回PONG；专项验证原子脚本与降级路径。</w:t>
            </w:r>
          </w:p>
        </w:tc>
      </w:tr>
    </w:tbl>
    <w:p w14:paraId="3F3C6CEE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表6-1 测试环境与方法</w:t>
      </w:r>
    </w:p>
    <w:p w14:paraId="66504E71"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07746"/>
            <wp:docPr id="47" name="Picture 47" descr="Image: image4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char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0774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311A2EA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图6-1 最新自动化验证结果</w:t>
      </w:r>
    </w:p>
    <w:p w14:paraId="73E8455E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后端41个测试套件共181项测试全部通过，结果为0失败、0错误、0跳过；前端17项单元测试全部通过，TypeScript检查与Vite正式构建成功。Redis 7.4容器状态为healthy，并实际返回PONG。</w:t>
      </w:r>
    </w:p>
    <w:p w14:paraId="1584CD49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2、测试范围与判定原则</w:t>
      </w:r>
    </w:p>
    <w:p w14:paraId="5A7949C9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测试覆盖认证、资料、班级、题库、试卷、考试、阅卷、订单、权益、AI、线下教师和后台管理。自动化测试用于检查接口和业务规则，浏览器测试用于确认页面显示、跳转、提示和控制台情况。</w:t>
      </w:r>
    </w:p>
    <w:p w14:paraId="035DFBD2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判定“通过”不仅要求接口返回成功，还要检查数据库或页面刷新后的结果。例如人工阅卷保存后需要刷新页面确认分数和评语仍存在；模拟支付后需要检查订单状态和权益余额；交卷后需要检查考试状态和倒计时是否正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200"/>
        <w:gridCol w:w="3200"/>
      </w:tblGrid>
      <w:tr w14:paraId="02FB7460">
        <w:trPr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17884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测试层次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90A17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重点内容</w:t>
            </w:r>
          </w:p>
        </w:tc>
        <w:tc>
          <w:tcPr>
            <w:tcW w:w="3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BD1F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通过标准</w:t>
            </w:r>
          </w:p>
        </w:tc>
      </w:tr>
      <w:tr w14:paraId="5D174093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A226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单元与集成测试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003C8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业务规则、权限、事务、幂等和异常。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F07E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测试命令全部通过，无阻断失败。</w:t>
            </w:r>
          </w:p>
        </w:tc>
      </w:tr>
      <w:tr w14:paraId="68C164D4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051EE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类型与构建检查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C17CB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前端类型、依赖和生产打包。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3F2D3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TypeScript检查及Vite构建成功。</w:t>
            </w:r>
          </w:p>
        </w:tc>
      </w:tr>
      <w:tr w14:paraId="26133FEB">
        <w:trPr>
          <w:cantSplit/>
          <w:jc w:val="center"/>
        </w:trPr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540CC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数据库检查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FB406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表、字段、索引、升级脚本和关键状态。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56D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最新结构可用，业务流程无缺表缺字段。</w:t>
            </w:r>
          </w:p>
        </w:tc>
      </w:tr>
      <w:tr w14:paraId="1B1B7C06">
        <w:trPr>
          <w:cantSplit/>
          <w:jc w:val="center"/>
        </w:trPr>
        <w:tc>
          <w:tcPr>
            <w:tcW w:w="18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841C4B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浏览器回归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E51E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页面、表单、路由、提示和控制台。</w:t>
            </w:r>
          </w:p>
        </w:tc>
        <w:tc>
          <w:tcPr>
            <w:tcW w:w="3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6AF7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操作结果正确，无影响使用的报错。</w:t>
            </w:r>
          </w:p>
        </w:tc>
      </w:tr>
    </w:tbl>
    <w:p w14:paraId="1310390F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表6-2 测试层次与判定原则</w:t>
      </w:r>
    </w:p>
    <w:p>
      <w:pPr>
        <w:pStyle w:val="167"/>
      </w:pPr>
      <w:r>
        <w:rPr>
          <w:rFonts w:ascii="宋体" w:hAnsi="宋体" w:eastAsia="宋体"/>
          <w:sz w:val="24"/>
        </w:rPr>
        <w:t>3、Redis高并发专项测试</w:t>
      </w:r>
    </w:p>
    <w:p>
      <w:pPr>
        <w:pStyle w:val="164"/>
      </w:pPr>
      <w:r>
        <w:rPr>
          <w:rFonts w:ascii="宋体" w:hAnsi="宋体" w:eastAsia="宋体"/>
          <w:sz w:val="24"/>
        </w:rPr>
        <w:t>本次完整后端测试中，与Redis和并发机制直接相关的7个测试类共包含33项测试。测试重点不是制造虚假的吞吐量数字，而是检查原子计数、租约归属、事务提交后失效、多实例重复处理防护和Redis故障降级是否符合代码约定。</w:t>
      </w:r>
    </w:p>
    <w:tbl>
      <w:tblPr>
        <w:tblStyle w:val="33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67"/>
        <w:gridCol w:w="2967"/>
        <w:gridCol w:w="2967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D6E9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测试对象</w:t>
            </w:r>
          </w:p>
        </w:tc>
        <w:tc>
          <w:tcPr>
            <w:tcW w:type="dxa" w:w="568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D6E9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验证内容</w:t>
            </w:r>
          </w:p>
        </w:tc>
        <w:tc>
          <w:tcPr>
            <w:tcW w:type="dxa" w:w="108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D6E9F7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认证快照</w:t>
            </w:r>
          </w:p>
        </w:tc>
        <w:tc>
          <w:tcPr>
            <w:tcW w:type="dxa" w:w="568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未命中回源并写入短TTL；Redis失败仍查询数据库</w:t>
            </w:r>
          </w:p>
        </w:tc>
        <w:tc>
          <w:tcPr>
            <w:tcW w:type="dxa" w:w="108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授权判定缓存</w:t>
            </w:r>
          </w:p>
        </w:tc>
        <w:tc>
          <w:tcPr>
            <w:tcW w:type="dxa" w:w="568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命中减少查询；用户版本失效；失败不放行未知权限</w:t>
            </w:r>
          </w:p>
        </w:tc>
        <w:tc>
          <w:tcPr>
            <w:tcW w:type="dxa" w:w="108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API与AI守卫</w:t>
            </w:r>
          </w:p>
        </w:tc>
        <w:tc>
          <w:tcPr>
            <w:tcW w:type="dxa" w:w="568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固定/滑动窗口、Retry-After、并发租约、故障退回本机</w:t>
            </w:r>
          </w:p>
        </w:tc>
        <w:tc>
          <w:tcPr>
            <w:tcW w:type="dxa" w:w="108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浏览量缓冲</w:t>
            </w:r>
          </w:p>
        </w:tc>
        <w:tc>
          <w:tcPr>
            <w:tcW w:type="dxa" w:w="568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原子累加、分布式锁、批次回写、单项失败重新入队</w:t>
            </w:r>
          </w:p>
        </w:tc>
        <w:tc>
          <w:tcPr>
            <w:tcW w:type="dxa" w:w="108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考试运行态</w:t>
            </w:r>
          </w:p>
        </w:tc>
        <w:tc>
          <w:tcPr>
            <w:tcW w:type="dxa" w:w="568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ZSET截止索引、Lua原子领取、清理与禁用开关</w:t>
            </w:r>
          </w:p>
        </w:tc>
        <w:tc>
          <w:tcPr>
            <w:tcW w:type="dxa" w:w="108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9"/>
              </w:rPr>
              <w:t>超时调度器</w:t>
            </w:r>
          </w:p>
        </w:tc>
        <w:tc>
          <w:tcPr>
            <w:tcW w:type="dxa" w:w="5688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领取交卷、失败重试、Redis异常和周期MySQL兜底</w:t>
            </w:r>
          </w:p>
        </w:tc>
        <w:tc>
          <w:tcPr>
            <w:tcW w:type="dxa" w:w="1080"/>
            <w:vAlign w:val="center"/>
            <w:tcMar>
              <w:top w:w="35" w:type="dxa"/>
              <w:left w:w="75" w:type="dxa"/>
              <w:bottom w:w="35" w:type="dxa"/>
              <w:right w:w="75" w:type="dxa"/>
            </w:tcMar>
            <w:shd w:fill="F6F8FB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</w:tbl>
    <w:p>
      <w:pPr>
        <w:pStyle w:val="15"/>
        <w:jc w:val="center"/>
      </w:pPr>
      <w:r>
        <w:rPr>
          <w:rFonts w:ascii="宋体" w:hAnsi="宋体" w:eastAsia="宋体"/>
          <w:sz w:val="24"/>
        </w:rPr>
        <w:t>表6-3 Redis与并发机制专项测试</w:t>
      </w:r>
    </w:p>
    <w:p>
      <w:pPr>
        <w:pStyle w:val="164"/>
      </w:pPr>
      <w:r>
        <w:rPr>
          <w:rFonts w:ascii="宋体" w:hAnsi="宋体" w:eastAsia="宋体"/>
          <w:sz w:val="24"/>
        </w:rPr>
        <w:t>此外，容器健康检查确认Redis 7.4-alpine已连续运行且状态正常，PING返回PONG。这些结果说明当前代码的并发控制和降级分支能够按设计运行，但不等同于完成了生产规模压力测试。</w:t>
      </w:r>
    </w:p>
    <w:p w14:paraId="35BE08F5">
      <w:pPr>
        <w:pStyle w:val="167"/>
        <w:keepNext/>
      </w:pPr>
      <w:r>
        <w:rPr>
          <w:rFonts w:ascii="宋体" w:hAnsi="宋体" w:eastAsia="宋体"/>
          <w:sz w:val="24"/>
        </w:rPr>
        <w:t>4、问题清单复测结果（一）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5300"/>
        <w:gridCol w:w="1200"/>
      </w:tblGrid>
      <w:tr w14:paraId="76CB6779">
        <w:trPr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5853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测试项目</w:t>
            </w:r>
          </w:p>
        </w:tc>
        <w:tc>
          <w:tcPr>
            <w:tcW w:w="53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031C35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最新结果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058E9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结论</w:t>
            </w:r>
          </w:p>
        </w:tc>
      </w:tr>
      <w:tr w14:paraId="55C46D12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FF79E3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数据库升级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EB9A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当前数据库共有44张业务表，登录及相关页面能够正常使用。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59FD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156C085C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14B6E1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人工阅卷保存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64237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简答题设为18分后保存、刷新，分数与评语保持正确。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925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0B3630A5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3232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已交卷倒计时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21E3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已交卷、阅卷中和已完成状态不再启动或显示倒计时。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C295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2EA0FC96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76326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首页信息</w:t>
            </w:r>
          </w:p>
        </w:tc>
        <w:tc>
          <w:tcPr>
            <w:tcW w:w="53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340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删除固定68%进度和旧提示，浏览器复查正常。</w:t>
            </w:r>
          </w:p>
        </w:tc>
        <w:tc>
          <w:tcPr>
            <w:tcW w:w="12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52C1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23EF761C">
        <w:trPr>
          <w:cantSplit/>
          <w:jc w:val="center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20B0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暂定成绩统计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025F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部分得分和待批改分别统计，18/20不再算作错误。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3458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</w:tbl>
    <w:p w14:paraId="7851822D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表6-4 问题清单复测结果（一）</w:t>
      </w:r>
    </w:p>
    <w:p w14:paraId="6B1EB9D5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前五项主要涉及数据库结构、考试状态、阅卷数据和页面信息。修改后均通过针对性回归检查。</w:t>
      </w:r>
    </w:p>
    <w:p w14:paraId="5783C62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数据库升级项通过登录、表数量和相关页面共同判断；考试倒计时和暂定成绩统计项则同时检查后端状态与前端显示，避免只修改页面文字而没有修正数据逻辑。</w:t>
      </w:r>
    </w:p>
    <w:p w14:paraId="5CBEBCAA">
      <w:pPr>
        <w:pStyle w:val="167"/>
        <w:keepNext/>
      </w:pPr>
      <w:r>
        <w:rPr>
          <w:rFonts w:ascii="宋体" w:hAnsi="宋体" w:eastAsia="宋体"/>
          <w:sz w:val="24"/>
        </w:rPr>
        <w:t>5、问题清单复测结果（二）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5300"/>
        <w:gridCol w:w="1200"/>
      </w:tblGrid>
      <w:tr w14:paraId="70D42504">
        <w:trPr>
          <w:tblHeader/>
          <w:jc w:val="center"/>
          <w:cantSplit/>
        </w:trPr>
        <w:tc>
          <w:tcPr>
            <w:tcW w:w="1700" w:type="dxa"/>
            <w:shd w:val="clear" w:color="auto" w:fill="D9EAF7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74E92B51"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测试项目</w:t>
            </w:r>
          </w:p>
        </w:tc>
        <w:tc>
          <w:tcPr>
            <w:tcW w:w="5300" w:type="dxa"/>
            <w:shd w:val="clear" w:color="auto" w:fill="D9EAF7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527C8EC8"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最新结果</w:t>
            </w:r>
          </w:p>
        </w:tc>
        <w:tc>
          <w:tcPr>
            <w:tcW w:w="1200" w:type="dxa"/>
            <w:shd w:val="clear" w:color="auto" w:fill="D9EAF7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1BFF9029"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 w:eastAsia="Heiti SC"/>
                <w:b/>
                <w:sz w:val="19"/>
              </w:rPr>
              <w:t>结论</w:t>
            </w:r>
          </w:p>
        </w:tc>
      </w:tr>
      <w:tr w14:paraId="28257428">
        <w:trPr>
          <w:cantSplit/>
          <w:jc w:val="center"/>
        </w:trPr>
        <w:tc>
          <w:tcPr>
            <w:tcW w:w="17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714B9297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管理员自我禁用</w:t>
            </w:r>
          </w:p>
        </w:tc>
        <w:tc>
          <w:tcPr>
            <w:tcW w:w="53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123925B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当前管理员状态按钮禁用，操作函数和后端继续拦截。</w:t>
            </w:r>
          </w:p>
        </w:tc>
        <w:tc>
          <w:tcPr>
            <w:tcW w:w="12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4A00BAB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4975F587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2D7685A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商城页面警告</w:t>
            </w:r>
          </w:p>
        </w:tc>
        <w:tc>
          <w:tcPr>
            <w:tcW w:w="53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70BA2E6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筛选改用ALL值，控制台不再出现旧属性警告。</w:t>
            </w:r>
          </w:p>
        </w:tc>
        <w:tc>
          <w:tcPr>
            <w:tcW w:w="12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198364D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330D9BDA">
        <w:trPr>
          <w:cantSplit/>
          <w:jc w:val="center"/>
        </w:trPr>
        <w:tc>
          <w:tcPr>
            <w:tcW w:w="17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>
            <w:r>
              <w:t>后端测试</w:t>
            </w:r>
          </w:p>
        </w:tc>
        <w:tc>
          <w:tcPr>
            <w:tcW w:w="53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215FDCD5">
            <w:pPr>
              <w:spacing w:before="0" w:after="0" w:line="240" w:lineRule="auto"/>
              <w:jc w:val="left"/>
            </w:pPr>
            <w:r>
              <w:t>执行41个测试类，共181项测试，0失败、0错误、0跳过。</w:t>
            </w:r>
          </w:p>
        </w:tc>
        <w:tc>
          <w:tcPr>
            <w:tcW w:w="12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0C3DBE5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  <w:tr w14:paraId="78FE86D9">
        <w:trPr>
          <w:cantSplit/>
          <w:jc w:val="center"/>
        </w:trPr>
        <w:tc>
          <w:tcPr>
            <w:tcW w:w="17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5F22B4D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前端测试覆盖</w:t>
            </w:r>
          </w:p>
        </w:tc>
        <w:tc>
          <w:tcPr>
            <w:tcW w:w="53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6690393">
            <w:pPr>
              <w:spacing w:before="0" w:after="0" w:line="240" w:lineRule="auto"/>
              <w:jc w:val="left"/>
            </w:pPr>
            <w:r>
              <w:t>前端17项单元测试全部通过，页面与端到端覆盖仍可继续增加。</w:t>
            </w:r>
          </w:p>
        </w:tc>
        <w:tc>
          <w:tcPr>
            <w:tcW w:w="1200" w:type="dxa"/>
            <w:shd w:val="clear" w:color="auto" w:fill="F8FBFE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66985A5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有所改善</w:t>
            </w:r>
          </w:p>
        </w:tc>
      </w:tr>
      <w:tr w14:paraId="485D14F6">
        <w:trPr>
          <w:cantSplit/>
          <w:jc w:val="center"/>
        </w:trPr>
        <w:tc>
          <w:tcPr>
            <w:tcW w:w="17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402650E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ongti SC"/>
                <w:sz w:val="19"/>
              </w:rPr>
              <w:t>试卷时间显示</w:t>
            </w:r>
          </w:p>
        </w:tc>
        <w:tc>
          <w:tcPr>
            <w:tcW w:w="53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0B82508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原始ISO时间改为中文本地时间显示。</w:t>
            </w:r>
          </w:p>
        </w:tc>
        <w:tc>
          <w:tcPr>
            <w:tcW w:w="1200" w:type="dxa"/>
            <w:tcMar>
              <w:top w:w="35" w:type="dxa"/>
              <w:left w:w="75" w:type="dxa"/>
              <w:bottom w:w="35" w:type="dxa"/>
              <w:right w:w="75" w:type="dxa"/>
            </w:tcMar>
            <w:vAlign w:val="center"/>
          </w:tcPr>
          <w:p w14:paraId="3715C7D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ongti SC"/>
                <w:sz w:val="19"/>
              </w:rPr>
              <w:t>通过</w:t>
            </w:r>
          </w:p>
        </w:tc>
      </w:tr>
    </w:tbl>
    <w:p w14:paraId="04C3F099">
      <w:pPr>
        <w:pStyle w:val="15"/>
        <w:spacing w:before="40" w:after="120"/>
        <w:jc w:val="center"/>
      </w:pPr>
      <w:r>
        <w:rPr>
          <w:rFonts w:ascii="宋体" w:hAnsi="宋体" w:eastAsia="宋体"/>
          <w:sz w:val="24"/>
        </w:rPr>
        <w:t>表6-5 问题清单复测结果（二）</w:t>
      </w:r>
    </w:p>
    <w:p w14:paraId="765942C2">
      <w:pPr>
        <w:keepNext/>
        <w:spacing w:after="0"/>
        <w:jc w:val="center"/>
      </w:pPr>
      <w:r>
        <w:drawing>
          <wp:inline distT="0" distB="0" distL="114300" distR="114300">
            <wp:extent cx="4103370" cy="2682875"/>
            <wp:effectExtent l="0" t="0" r="0" b="0"/>
            <wp:docPr id="41" name="Picture 41" descr="图6-2 问题清单复测结论" title="图6-2 问题清单复测结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 descr="图6-2 问题清单复测结论" title="图6-2 问题清单复测结论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2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9657A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图6-2 问题清单复测结论</w:t>
      </w:r>
    </w:p>
    <w:p w14:paraId="7DE491C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十项问题中九项确认通过，一项为“有所改善”。该项已经增加前端测试，但页面与端到端覆盖仍可以继续补充。</w:t>
      </w:r>
    </w:p>
    <w:p w14:paraId="11B6CBE4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本次结果只说明当前本地版本和当前测试环境下的情况。真实支付、真实DeepSeek密钥和大并发场景不在本次验证范围内。</w:t>
      </w:r>
    </w:p>
    <w:p w14:paraId="529E5CF9">
      <w:pPr>
        <w:pStyle w:val="167"/>
        <w:keepNext/>
      </w:pPr>
      <w:r>
        <w:rPr>
          <w:rFonts w:ascii="宋体" w:hAnsi="宋体" w:eastAsia="宋体"/>
          <w:sz w:val="24"/>
        </w:rPr>
        <w:t>6、典型测试过程说明</w:t>
      </w:r>
    </w:p>
    <w:p w14:paraId="39226DCA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人工阅卷测试先进入待批主观题，将简答题分数设置为18分并填写评语，保存后观察成功提示，再刷新页面检查输入框仍为18.00且评语未丢失。该过程验证了前端回显、接口保存和数据库持久化三个环节。</w:t>
      </w:r>
    </w:p>
    <w:p w14:paraId="1AE6A52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考试状态测试把已完成作答的截止时间临时设置到未来，确认SUBMITTED、GRADING和GRADED状态不再显示服务端剩余时间。这样可以证明倒计时由考试状态和时间共同控制，而不是只看截止时间。</w:t>
      </w:r>
    </w:p>
    <w:p w14:paraId="0A2D261D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成绩统计测试分别准备满分、部分得分、错误和待批改题目，确认18/20被统计为部分得分而不是错误，未批主观题进入待批改数量。测试结果与成绩详情保持一致。</w:t>
      </w:r>
    </w:p>
    <w:p w14:paraId="30AAE3B5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安全回归还检查了普通用户访问发布者或管理员接口、非所有者访问他人资料和订单、伪造或过期JWT、文件类型伪装以及未满足条件时提前读取正确答案等情况。</w:t>
      </w:r>
    </w:p>
    <w:p w14:paraId="364C669A">
      <w:pPr>
        <w:pStyle w:val="167"/>
        <w:keepNext/>
      </w:pPr>
      <w:r>
        <w:rPr>
          <w:rFonts w:ascii="宋体" w:hAnsi="宋体" w:eastAsia="宋体"/>
          <w:sz w:val="24"/>
        </w:rPr>
        <w:t>7、测试不足与后续计划</w:t>
      </w:r>
    </w:p>
    <w:p w14:paraId="444CC981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当前前端测试已增加页面回归检查，但完整端到端覆盖仍较少。Redis专项测试主要验证原子性、缓存失效和故障降级，还没有使用JMeter或k6完成多实例压力基准，因此报告不填写未经测量的QPS、P95延迟和缓存命中率。后续应在独立压测环境中补充这些数据，并用Playwright覆盖注册登录、资料访问、考试和商城连续流程。</w:t>
      </w:r>
    </w:p>
    <w:p w14:paraId="50A71CBE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真实DeepSeek鉴权、响应质量、费用、限流和超时需要在配置真实密钥后单独验收；模拟支付不能替代真实支付的签名、回调、退款和对账测试；考试高并发也需要在独立压测环境中完成。</w:t>
      </w:r>
    </w:p>
    <w:p w14:paraId="3BA48A4A">
      <w:bookmarkStart w:id="0" w:name="_GoBack"/>
      <w:bookmarkEnd w:id="0"/>
      <w:r>
        <w:rPr>
          <w:rFonts w:ascii="Times New Roman" w:hAnsi="Times New Roman" w:eastAsia="Heiti SC"/>
          <w:b/>
          <w:sz w:val="32"/>
        </w:rPr>
        <w:t>七、项目总结</w:t>
      </w:r>
    </w:p>
    <w:p w14:paraId="5BDB593F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本次实训完成了一个可以实际运行的智能在线学习考试平台。小组从需求、数据库和基础框架开始，逐步完成了学习资料、在线考试、商城权益、AI辅助、班级、线下教学和后台管理等功能。</w:t>
      </w:r>
    </w:p>
    <w:p w14:paraId="79042AC8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通过这次项目，小组对前后端联调、权限控制、考试状态、数据一致性和软件测试有了更直观的认识。后续还可以继续补充真实支付、更多题目导入方式、更细的学习统计和更完整的端到端测试。</w:t>
      </w:r>
    </w:p>
    <w:p w14:paraId="6D5BDE53">
      <w:pPr>
        <w:pStyle w:val="164"/>
        <w:spacing w:after="100" w:line="360" w:lineRule="auto"/>
        <w:ind w:firstLine="420"/>
        <w:jc w:val="both"/>
      </w:pPr>
      <w:r>
        <w:rPr>
          <w:rFonts w:ascii="宋体" w:hAnsi="宋体" w:eastAsia="宋体"/>
          <w:sz w:val="24"/>
        </w:rPr>
        <w:t>项目中最重要的体会是，页面能够点击并不等于功能真正完成。只有把权限、事务、状态、数据库结果和刷新后的页面一起检查，才能确认业务流程可靠。Redis改造也说明，高并发不能只理解为增加缓存；还要处理跨实例原子性、租约释放、缓存失效、最终一致和故障降级，且MySQL仍应保留最终判断。</w:t>
      </w:r>
    </w:p>
    <w:p w14:paraId="4C0A35CB">
      <w:pPr>
        <w:pStyle w:val="164"/>
        <w:spacing w:after="100" w:line="360" w:lineRule="auto"/>
        <w:ind w:firstLine="420"/>
        <w:jc w:val="both"/>
      </w:pPr>
      <w:r>
        <w:rPr>
          <w:rFonts w:ascii="Times New Roman" w:hAnsi="Times New Roman" w:eastAsia="Songti SC"/>
          <w:sz w:val="23"/>
        </w:rPr>
        <w:t>小组还认识到文档和注释需要跟随代码更新。最新版本补充了模块职责、典型调用链、数据库约定和安全说明，后续成员可以更快定位接口和业务规则，也便于继续扩展班级、AI和线下教学功能。</w:t>
      </w:r>
    </w:p>
    <w:p>
      <w:pPr>
        <w:pStyle w:val="164"/>
      </w:pPr>
      <w:r>
        <w:rPr>
          <w:rFonts w:ascii="宋体" w:hAnsi="宋体" w:eastAsia="宋体"/>
          <w:sz w:val="24"/>
        </w:rPr>
        <w:t>本次新增的高并发能力与原有模块保持较小耦合：公共Redis组件提供原子能力，业务服务只在必要位置接入，并配套33项相关测试。这样的做法便于后续调整TTL、限流额度或部署实例数量，也减少了对资料、考试、订单和AI核心逻辑的改动。</w:t>
      </w:r>
    </w:p>
    <w:p w14:paraId="141FF3D8">
      <w:pPr>
        <w:pStyle w:val="166"/>
        <w:keepNext/>
      </w:pPr>
      <w:r>
        <w:rPr>
          <w:rFonts w:ascii="Times New Roman" w:hAnsi="Times New Roman" w:eastAsia="Heiti SC"/>
          <w:b/>
          <w:sz w:val="32"/>
        </w:rPr>
        <w:t>附录</w:t>
      </w:r>
    </w:p>
    <w:p w14:paraId="71A37A79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附录A 项目主要目录和规模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6100"/>
      </w:tblGrid>
      <w:tr w14:paraId="20CA7DCE">
        <w:trPr>
          <w:tblHeader/>
          <w:jc w:val="center"/>
        </w:trPr>
        <w:tc>
          <w:tcPr>
            <w:tcW w:w="2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225AD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项目内容</w:t>
            </w:r>
          </w:p>
        </w:tc>
        <w:tc>
          <w:tcPr>
            <w:tcW w:w="6100" w:type="dxa"/>
            <w:shd w:val="clear" w:color="auto" w:fill="D9EA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D0388F">
            <w:pPr>
              <w:spacing w:after="0"/>
              <w:jc w:val="center"/>
            </w:pPr>
            <w:r>
              <w:rPr>
                <w:rFonts w:ascii="Times New Roman" w:hAnsi="Times New Roman" w:eastAsia="Heiti SC"/>
                <w:b/>
                <w:sz w:val="20"/>
              </w:rPr>
              <w:t>位置或数量</w:t>
            </w:r>
          </w:p>
        </w:tc>
      </w:tr>
      <w:tr w14:paraId="1FF44C31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7B847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后端代码</w:t>
            </w:r>
          </w:p>
        </w:tc>
        <w:tc>
          <w:tcPr>
            <w:tcW w:w="61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A03ABA">
            <w:pPr>
              <w:spacing w:before="0" w:after="0" w:line="264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codes/backend；当前390个Java主源码文件、41个测试类。</w:t>
            </w:r>
          </w:p>
        </w:tc>
      </w:tr>
      <w:tr w14:paraId="51AB1239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C799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前端代码</w:t>
            </w:r>
          </w:p>
        </w:tc>
        <w:tc>
          <w:tcPr>
            <w:tcW w:w="6100" w:type="dxa"/>
            <w:shd w:val="clear" w:color="auto" w:fill="F8FBFE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A61F365">
            <w:pPr>
              <w:spacing w:before="0" w:after="0" w:line="264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codes/frontend/learning_platform_frontend；当前46个Vue页面或组件。</w:t>
            </w:r>
          </w:p>
        </w:tc>
      </w:tr>
      <w:tr w14:paraId="2079533F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E50F9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数据库脚本</w:t>
            </w:r>
          </w:p>
        </w:tc>
        <w:tc>
          <w:tcPr>
            <w:tcW w:w="61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CF743A">
            <w:pPr>
              <w:spacing w:before="0" w:after="0" w:line="264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codes/database；当前10个SQL脚本，基础建库说明为38张业务表。</w:t>
            </w:r>
          </w:p>
        </w:tc>
      </w:tr>
      <w:tr w14:paraId="3D17F45A">
        <w:trPr>
          <w:cantSplit/>
          <w:jc w:val="center"/>
        </w:trPr>
        <w:tc>
          <w:tcPr>
            <w:tcW w:w="2100" w:type="dxa"/>
            <w:shd w:val="clear" w:color="auto" w:fill="F8FBFE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76FA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项目文档</w:t>
            </w:r>
          </w:p>
        </w:tc>
        <w:tc>
          <w:tcPr>
            <w:tcW w:w="6100" w:type="dxa"/>
            <w:shd w:val="clear" w:color="auto" w:fill="F8FBFE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D3B954">
            <w:pPr>
              <w:spacing w:before="0" w:after="0" w:line="264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codes目录下当前约215个Markdown说明文档。</w:t>
            </w:r>
          </w:p>
        </w:tc>
      </w:tr>
      <w:tr w14:paraId="4B72BC30">
        <w:trPr>
          <w:cantSplit/>
          <w:jc w:val="center"/>
        </w:trPr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62BB2D"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Songti SC"/>
                <w:sz w:val="20"/>
              </w:rPr>
              <w:t>业务数据表</w:t>
            </w:r>
          </w:p>
        </w:tc>
        <w:tc>
          <w:tcPr>
            <w:tcW w:w="610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049A5B">
            <w:pPr>
              <w:spacing w:before="0" w:after="0" w:line="264" w:lineRule="auto"/>
              <w:jc w:val="left"/>
            </w:pPr>
            <w:r>
              <w:rPr>
                <w:rFonts w:ascii="宋体" w:hAnsi="宋体" w:eastAsia="宋体"/>
                <w:b w:val="0"/>
                <w:sz w:val="20"/>
              </w:rPr>
              <w:t>数据库作为业务真源；Redis仅保存短期状态、缓存和可补偿增量。</w:t>
            </w:r>
          </w:p>
        </w:tc>
      </w:tr>
    </w:tbl>
    <w:p w14:paraId="31374E34">
      <w:pPr>
        <w:pStyle w:val="15"/>
        <w:spacing w:before="40" w:after="120"/>
        <w:jc w:val="center"/>
      </w:pPr>
      <w:r>
        <w:rPr>
          <w:rFonts w:ascii="Times New Roman" w:hAnsi="Times New Roman" w:eastAsia="Songti SC"/>
          <w:sz w:val="21"/>
        </w:rPr>
        <w:t>表A-1 项目主要目录和规模</w:t>
      </w:r>
    </w:p>
    <w:p w14:paraId="43411CD7">
      <w:pPr>
        <w:pStyle w:val="167"/>
        <w:keepNext/>
      </w:pPr>
      <w:r>
        <w:rPr>
          <w:rFonts w:ascii="Times New Roman" w:hAnsi="Times New Roman" w:eastAsia="Heiti SC"/>
          <w:b/>
          <w:sz w:val="28"/>
        </w:rPr>
        <w:t>附录B 主要参考文档</w:t>
      </w:r>
    </w:p>
    <w:p>
      <w:pPr>
        <w:pStyle w:val="165"/>
        <w:keepNext w:val="0"/>
      </w:pPr>
      <w:r>
        <w:rPr>
          <w:rFonts w:ascii="宋体" w:hAnsi="宋体" w:eastAsia="宋体"/>
          <w:sz w:val="24"/>
        </w:rPr>
        <w:t>• Redis使用说明：Redis职责边界、键结构、TTL、一致性、降级和排障方法。</w:t>
      </w:r>
    </w:p>
    <w:p w14:paraId="19A3DBD2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项目设计报告：需求、架构、数据库、类图、时序图及系统截图。</w:t>
      </w:r>
    </w:p>
    <w:p w14:paraId="1886EA2C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环境配置说明：JDK、Node.js、MySQL、Redis、MinIO和启动方法。</w:t>
      </w:r>
    </w:p>
    <w:p w14:paraId="6055B0BD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API文档、开发文档和代码导读：接口说明、模块关系和维护方法。</w:t>
      </w:r>
    </w:p>
    <w:p w14:paraId="21F4D798">
      <w:pPr>
        <w:pStyle w:val="165"/>
        <w:spacing w:after="60"/>
        <w:ind w:left="454" w:hanging="255"/>
      </w:pPr>
      <w:r>
        <w:rPr>
          <w:rFonts w:ascii="Times New Roman" w:hAnsi="Times New Roman" w:eastAsia="Songti SC"/>
          <w:sz w:val="23"/>
        </w:rPr>
        <w:t>• 手动测试报告：问题清单、复测方法和最新处理结果。</w:t>
      </w:r>
    </w:p>
    <w:sectPr>
      <w:footerReference r:id="rId9" w:type="first"/>
      <w:footerReference r:id="rId8" w:type="default"/>
      <w:pgSz w:w="11906" w:h="16838"/>
      <w:pgMar w:top="1417" w:right="1417" w:bottom="1247" w:left="1587" w:header="850" w:footer="68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iti SC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楷体_GB2312">
    <w:altName w:val="汉仪楷体简"/>
    <w:panose1 w:val="00000000000000000000"/>
    <w:charset w:val="00"/>
    <w:family w:val="modern"/>
    <w:pitch w:val="default"/>
    <w:sig w:usb0="00000000" w:usb1="00000000" w:usb2="0000001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34E745">
    <w:pPr>
      <w:pStyle w:val="24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C058B">
    <w:pPr>
      <w:pStyle w:val="24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11140A">
    <w:pPr>
      <w:pStyle w:val="24"/>
      <w:rPr>
        <w:rFonts w:hint="eastAsia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9F4E5E">
    <w:pPr>
      <w:pStyle w:val="24"/>
      <w:jc w:val="center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3" name="文本框 43" descr="Imag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839515">
                          <w:pPr>
                            <w:pStyle w:val="24"/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hint="eastAsia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uduMMtAgAAVwQAAA4AAABkcnMvZTJvRG9jLnhtbK1UzY7TMBC+I/EO&#10;lu80aRd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HuduMM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839515">
                    <w:pPr>
                      <w:pStyle w:val="24"/>
                      <w:jc w:val="center"/>
                      <w:rPr>
                        <w:rFonts w:hint="eastAsia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rFonts w:hint="eastAsia"/>
                        <w:sz w:val="20"/>
                      </w:rPr>
                      <w:fldChar w:fldCharType="separate"/>
                    </w:r>
                    <w:r>
                      <w:rPr>
                        <w:rFonts w:hint="eastAsia"/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ADD6D1">
    <w:pPr>
      <w:pStyle w:val="24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2" name="文本框 42" descr="Imag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63C0095">
                          <w:pPr>
                            <w:pStyle w:val="24"/>
                            <w:rPr>
                              <w:rFonts w:hint="eastAsia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NPQ64M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63C0095">
                    <w:pPr>
                      <w:pStyle w:val="24"/>
                      <w:rPr>
                        <w:rFonts w:hint="eastAsia"/>
                      </w:rPr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A3C5D"/>
    <w:rsid w:val="00250904"/>
    <w:rsid w:val="0029639D"/>
    <w:rsid w:val="00326F90"/>
    <w:rsid w:val="005817DA"/>
    <w:rsid w:val="008531C0"/>
    <w:rsid w:val="00AA1D8D"/>
    <w:rsid w:val="00B47730"/>
    <w:rsid w:val="00CB0664"/>
    <w:rsid w:val="00FC693F"/>
    <w:rsid w:val="6EE6C07C"/>
    <w:rsid w:val="6F7D9040"/>
    <w:rsid w:val="76CFA7A0"/>
    <w:rsid w:val="76E7D813"/>
    <w:rsid w:val="7997A3DD"/>
    <w:rsid w:val="79EDE535"/>
    <w:rsid w:val="7FFD8F5A"/>
    <w:rsid w:val="BDEE78B0"/>
    <w:rsid w:val="EEFCDA2C"/>
    <w:rsid w:val="F74D9E97"/>
    <w:rsid w:val="FBFE0380"/>
    <w:rsid w:val="FDB7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Songti SC" w:hAnsi="Songti SC" w:eastAsia="Songti SC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4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Times New Roman" w:hAnsi="Times New Roman" w:eastAsia="Songti SC"/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不明显强调1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明显强调1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不明显参考1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明显参考1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书籍标题1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标题1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正文1"/>
    <w:basedOn w:val="1"/>
    <w:uiPriority w:val="0"/>
    <w:pPr>
      <w:spacing w:after="100" w:line="348" w:lineRule="auto"/>
      <w:ind w:firstLine="420"/>
      <w:jc w:val="both"/>
    </w:pPr>
    <w:rPr>
      <w:rFonts w:ascii="Times New Roman" w:hAnsi="Times New Roman" w:eastAsia="Songti SC"/>
      <w:sz w:val="23"/>
    </w:rPr>
  </w:style>
  <w:style w:type="paragraph" w:customStyle="1" w:styleId="165">
    <w:name w:val="简要列表"/>
    <w:basedOn w:val="1"/>
    <w:uiPriority w:val="0"/>
    <w:pPr>
      <w:spacing w:after="60" w:line="324" w:lineRule="auto"/>
      <w:ind w:left="420" w:hanging="255"/>
    </w:pPr>
    <w:rPr>
      <w:rFonts w:ascii="Times New Roman" w:hAnsi="Times New Roman" w:eastAsia="Songti SC"/>
    </w:rPr>
  </w:style>
  <w:style w:type="paragraph" w:customStyle="1" w:styleId="166">
    <w:name w:val="标题 11"/>
    <w:basedOn w:val="3"/>
    <w:uiPriority w:val="0"/>
    <w:pPr>
      <w:keepNext/>
    </w:pPr>
    <w:rPr>
      <w:rFonts w:ascii="Heiti SC" w:hAnsi="Heiti SC" w:eastAsia="Heiti SC"/>
      <w:color w:val="000000"/>
      <w:sz w:val="32"/>
    </w:rPr>
  </w:style>
  <w:style w:type="paragraph" w:customStyle="1" w:styleId="167">
    <w:name w:val="标题 21"/>
    <w:basedOn w:val="4"/>
    <w:uiPriority w:val="0"/>
    <w:pPr>
      <w:keepNext/>
    </w:pPr>
    <w:rPr>
      <w:rFonts w:ascii="Heiti SC" w:hAnsi="Heiti SC" w:eastAsia="Heiti SC"/>
      <w:color w:val="000000"/>
      <w:sz w:val="2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2" Type="http://schemas.openxmlformats.org/officeDocument/2006/relationships/fontTable" Target="fontTable.xml"/><Relationship Id="rId51" Type="http://schemas.openxmlformats.org/officeDocument/2006/relationships/customXml" Target="../customXml/item2.xml"/><Relationship Id="rId50" Type="http://schemas.openxmlformats.org/officeDocument/2006/relationships/numbering" Target="numbering.xml"/><Relationship Id="rId5" Type="http://schemas.openxmlformats.org/officeDocument/2006/relationships/footer" Target="footer1.xml"/><Relationship Id="rId49" Type="http://schemas.openxmlformats.org/officeDocument/2006/relationships/customXml" Target="../customXml/item1.xml"/><Relationship Id="rId48" Type="http://schemas.openxmlformats.org/officeDocument/2006/relationships/image" Target="media/image38.png"/><Relationship Id="rId47" Type="http://schemas.openxmlformats.org/officeDocument/2006/relationships/image" Target="media/image37.png"/><Relationship Id="rId46" Type="http://schemas.openxmlformats.org/officeDocument/2006/relationships/image" Target="media/image36.png"/><Relationship Id="rId45" Type="http://schemas.openxmlformats.org/officeDocument/2006/relationships/image" Target="media/image35.png"/><Relationship Id="rId44" Type="http://schemas.openxmlformats.org/officeDocument/2006/relationships/image" Target="media/image34.png"/><Relationship Id="rId43" Type="http://schemas.openxmlformats.org/officeDocument/2006/relationships/image" Target="media/image33.png"/><Relationship Id="rId42" Type="http://schemas.openxmlformats.org/officeDocument/2006/relationships/image" Target="media/image32.png"/><Relationship Id="rId41" Type="http://schemas.openxmlformats.org/officeDocument/2006/relationships/image" Target="media/image31.png"/><Relationship Id="rId40" Type="http://schemas.openxmlformats.org/officeDocument/2006/relationships/image" Target="media/image30.png"/><Relationship Id="rId4" Type="http://schemas.openxmlformats.org/officeDocument/2006/relationships/endnotes" Target="endnotes.xml"/><Relationship Id="rId39" Type="http://schemas.openxmlformats.org/officeDocument/2006/relationships/image" Target="media/image29.png"/><Relationship Id="rId38" Type="http://schemas.openxmlformats.org/officeDocument/2006/relationships/image" Target="media/image28.png"/><Relationship Id="rId37" Type="http://schemas.openxmlformats.org/officeDocument/2006/relationships/image" Target="media/image27.png"/><Relationship Id="rId36" Type="http://schemas.openxmlformats.org/officeDocument/2006/relationships/image" Target="media/image26.png"/><Relationship Id="rId35" Type="http://schemas.openxmlformats.org/officeDocument/2006/relationships/image" Target="media/image25.png"/><Relationship Id="rId34" Type="http://schemas.openxmlformats.org/officeDocument/2006/relationships/image" Target="media/image24.png"/><Relationship Id="rId33" Type="http://schemas.openxmlformats.org/officeDocument/2006/relationships/image" Target="media/image23.png"/><Relationship Id="rId32" Type="http://schemas.openxmlformats.org/officeDocument/2006/relationships/image" Target="media/image22.png"/><Relationship Id="rId31" Type="http://schemas.openxmlformats.org/officeDocument/2006/relationships/image" Target="media/image21.png"/><Relationship Id="rId30" Type="http://schemas.openxmlformats.org/officeDocument/2006/relationships/image" Target="media/image20.png"/><Relationship Id="rId3" Type="http://schemas.openxmlformats.org/officeDocument/2006/relationships/footnotes" Target="footnotes.xml"/><Relationship Id="rId29" Type="http://schemas.openxmlformats.org/officeDocument/2006/relationships/image" Target="media/image19.png"/><Relationship Id="rId28" Type="http://schemas.openxmlformats.org/officeDocument/2006/relationships/image" Target="media/image18.png"/><Relationship Id="rId27" Type="http://schemas.openxmlformats.org/officeDocument/2006/relationships/image" Target="media/image17.png"/><Relationship Id="rId26" Type="http://schemas.openxmlformats.org/officeDocument/2006/relationships/image" Target="media/image16.png"/><Relationship Id="rId25" Type="http://schemas.openxmlformats.org/officeDocument/2006/relationships/image" Target="media/image15.png"/><Relationship Id="rId24" Type="http://schemas.openxmlformats.org/officeDocument/2006/relationships/image" Target="media/image14.png"/><Relationship Id="rId23" Type="http://schemas.openxmlformats.org/officeDocument/2006/relationships/image" Target="media/image13.png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jpeg"/><Relationship Id="rId18" Type="http://schemas.openxmlformats.org/officeDocument/2006/relationships/image" Target="media/image8.jpe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jpeg"/><Relationship Id="rId10" Type="http://schemas.openxmlformats.org/officeDocument/2006/relationships/theme" Target="theme/theme1.xml"/><Relationship Id="rId1" Type="http://schemas.openxmlformats.org/officeDocument/2006/relationships/styles" Target="styles.xml"/><Relationship Id="rId53" Type="http://schemas.openxmlformats.org/officeDocument/2006/relationships/image" Target="media/image39.png"/><Relationship Id="rId54" Type="http://schemas.openxmlformats.org/officeDocument/2006/relationships/image" Target="media/image40.png"/><Relationship Id="rId55" Type="http://schemas.openxmlformats.org/officeDocument/2006/relationships/image" Target="media/image41.png"/><Relationship Id="rId56" Type="http://schemas.openxmlformats.org/officeDocument/2006/relationships/image" Target="media/image42.png"/><Relationship Id="rId57" Type="http://schemas.openxmlformats.org/officeDocument/2006/relationships/image" Target="media/image43.png"/><Relationship Id="rId58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DDDD</Company>
  <Pages>36</Pages>
  <Words>1729</Words>
  <Characters>1955</Characters>
  <Lines>115</Lines>
  <Paragraphs>131</Paragraphs>
  <TotalTime>16</TotalTime>
  <ScaleCrop>false</ScaleCrop>
  <LinksUpToDate>false</LinksUpToDate>
  <CharactersWithSpaces>3553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2013-12-25T15:15:00Z</dcterms:created>
  <dc:creator>叶世豪小组</dc:creator>
  <dc:description>generated by python-docx</dc:description>
  <cp:keywords>实习报告, 需求分析, 概要设计, 详细设计, 测试结果</cp:keywords>
  <cp:lastModifiedBy>黄浩</cp:lastModifiedBy>
  <dcterms:modified xsi:type="dcterms:W3CDTF">2026-07-28T10:45:20Z</dcterms:modified>
  <dc:subject>智学云考——智能在线学习考试平台</dc:subject>
  <dc:title>实习报告-叶世豪小组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91E4B0A09743390867B3666A59EF19D7_42</vt:lpwstr>
  </property>
</Properties>
</file>