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B97C88">
      <w:pPr>
        <w:jc w:val="center"/>
        <w:rPr>
          <w:rFonts w:hint="eastAsia" w:ascii="楷体_GB2312" w:eastAsia="楷体_GB2312"/>
          <w:b/>
          <w:sz w:val="50"/>
          <w:szCs w:val="50"/>
          <w:lang w:eastAsia="zh-CN"/>
        </w:rPr>
      </w:pPr>
      <w:r>
        <w:rPr>
          <w:rFonts w:hint="eastAsia" w:ascii="楷体_GB2312" w:eastAsia="楷体_GB2312"/>
          <w:b/>
          <w:sz w:val="50"/>
          <w:szCs w:val="50"/>
          <w:lang w:eastAsia="zh-CN"/>
        </w:rPr>
        <w:t>四川大学软件学院</w:t>
      </w:r>
    </w:p>
    <w:p w14:paraId="2EEB6D76">
      <w:pPr>
        <w:jc w:val="center"/>
        <w:rPr>
          <w:rFonts w:hint="eastAsia" w:ascii="楷体_GB2312" w:eastAsia="楷体_GB2312"/>
          <w:b/>
          <w:sz w:val="50"/>
          <w:szCs w:val="50"/>
          <w:lang w:eastAsia="zh-CN"/>
        </w:rPr>
      </w:pPr>
      <w:r>
        <w:rPr>
          <w:rFonts w:hint="eastAsia" w:ascii="楷体_GB2312" w:eastAsia="楷体_GB2312"/>
          <w:b/>
          <w:sz w:val="50"/>
          <w:szCs w:val="50"/>
          <w:lang w:eastAsia="zh-CN"/>
        </w:rPr>
        <w:t>2026年夏季实训</w:t>
      </w:r>
    </w:p>
    <w:p w14:paraId="18D30B9B">
      <w:pPr>
        <w:jc w:val="center"/>
        <w:rPr>
          <w:rFonts w:hint="eastAsia" w:eastAsia="楷体_GB2312"/>
          <w:b/>
          <w:sz w:val="52"/>
          <w:szCs w:val="52"/>
          <w:lang w:eastAsia="zh-CN"/>
        </w:rPr>
      </w:pPr>
      <w:r>
        <w:rPr>
          <w:rFonts w:hint="eastAsia" w:ascii="楷体_GB2312" w:eastAsia="楷体_GB2312"/>
          <w:b/>
          <w:sz w:val="50"/>
          <w:szCs w:val="50"/>
          <w:lang w:eastAsia="zh-CN"/>
        </w:rPr>
        <w:t>实习报告</w:t>
      </w:r>
    </w:p>
    <w:p w14:paraId="7370F493">
      <w:pPr>
        <w:rPr>
          <w:rFonts w:hint="eastAsia"/>
          <w:b/>
          <w:lang w:eastAsia="zh-CN"/>
        </w:rPr>
      </w:pPr>
    </w:p>
    <w:p w14:paraId="4F639F3E">
      <w:pPr>
        <w:rPr>
          <w:rFonts w:hint="eastAsia"/>
          <w:b/>
          <w:lang w:eastAsia="zh-CN"/>
        </w:rPr>
      </w:pPr>
    </w:p>
    <w:p w14:paraId="3BE0E078">
      <w:pPr>
        <w:spacing w:before="360"/>
        <w:jc w:val="center"/>
        <w:rPr>
          <w:rFonts w:hint="eastAsia" w:ascii="黑体" w:eastAsia="黑体" w:cs="宋体"/>
          <w:b/>
          <w:bCs/>
          <w:sz w:val="52"/>
          <w:szCs w:val="52"/>
          <w:u w:val="single"/>
          <w:lang w:eastAsia="zh-CN"/>
        </w:rPr>
      </w:pPr>
      <w:r>
        <w:rPr>
          <w:rFonts w:hint="eastAsia" w:ascii="黑体" w:eastAsia="黑体" w:cs="宋体"/>
          <w:bCs/>
          <w:sz w:val="44"/>
          <w:szCs w:val="44"/>
          <w:lang w:val="zh-CN" w:eastAsia="zh-CN"/>
        </w:rPr>
        <w:t>题  目：</w:t>
      </w:r>
      <w:r>
        <w:rPr>
          <w:b/>
          <w:sz w:val="40"/>
          <w:szCs w:val="28"/>
          <w:lang w:eastAsia="zh-CN"/>
        </w:rPr>
        <w:t>智学云考——智能在线学习考试平台</w:t>
      </w:r>
    </w:p>
    <w:p w14:paraId="3D10385B">
      <w:pPr>
        <w:autoSpaceDE w:val="0"/>
        <w:autoSpaceDN w:val="0"/>
        <w:adjustRightInd w:val="0"/>
        <w:ind w:firstLine="440"/>
        <w:rPr>
          <w:rFonts w:hint="eastAsia" w:ascii="黑体" w:eastAsia="黑体" w:cs="宋体"/>
          <w:b/>
          <w:bCs/>
          <w:sz w:val="44"/>
          <w:szCs w:val="44"/>
          <w:u w:val="single"/>
          <w:lang w:val="zh-CN" w:eastAsia="zh-CN"/>
        </w:rPr>
      </w:pPr>
    </w:p>
    <w:p w14:paraId="324ECFF4">
      <w:pPr>
        <w:rPr>
          <w:rFonts w:hint="eastAsia"/>
          <w:b/>
          <w:lang w:eastAsia="zh-CN"/>
        </w:rPr>
      </w:pPr>
    </w:p>
    <w:p w14:paraId="148C95C4">
      <w:pPr>
        <w:rPr>
          <w:rFonts w:hint="eastAsia"/>
          <w:b/>
          <w:lang w:eastAsia="zh-CN"/>
        </w:rPr>
      </w:pPr>
    </w:p>
    <w:p w14:paraId="705A36AC">
      <w:pPr>
        <w:rPr>
          <w:rFonts w:hint="eastAsia"/>
          <w:b/>
          <w:lang w:eastAsia="zh-CN"/>
        </w:rPr>
      </w:pPr>
    </w:p>
    <w:p w14:paraId="4FF066B6">
      <w:pPr>
        <w:rPr>
          <w:rFonts w:hint="eastAsia"/>
          <w:b/>
          <w:lang w:eastAsia="zh-CN"/>
        </w:rPr>
      </w:pPr>
    </w:p>
    <w:p w14:paraId="54A12244">
      <w:pPr>
        <w:rPr>
          <w:rFonts w:hint="eastAsia"/>
          <w:b/>
          <w:lang w:eastAsia="zh-CN"/>
        </w:rPr>
      </w:pPr>
    </w:p>
    <w:tbl>
      <w:tblPr>
        <w:tblStyle w:val="32"/>
        <w:tblW w:w="7071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5400"/>
      </w:tblGrid>
      <w:tr w14:paraId="43A8A9C1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44AC75DA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小组名称</w:t>
            </w:r>
          </w:p>
        </w:tc>
        <w:tc>
          <w:tcPr>
            <w:tcW w:w="5400" w:type="dxa"/>
            <w:tcBorders>
              <w:top w:val="nil"/>
            </w:tcBorders>
            <w:vAlign w:val="bottom"/>
          </w:tcPr>
          <w:p w14:paraId="2731FC4C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叶世豪小组</w:t>
            </w:r>
          </w:p>
        </w:tc>
      </w:tr>
      <w:tr w14:paraId="008B7D15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38852928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小组组长</w:t>
            </w:r>
          </w:p>
        </w:tc>
        <w:tc>
          <w:tcPr>
            <w:tcW w:w="5400" w:type="dxa"/>
            <w:vAlign w:val="bottom"/>
          </w:tcPr>
          <w:p w14:paraId="6788A76A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叶世豪</w:t>
            </w:r>
          </w:p>
        </w:tc>
      </w:tr>
      <w:tr w14:paraId="5871AEA4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024A2D81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小组成员</w:t>
            </w:r>
          </w:p>
        </w:tc>
        <w:tc>
          <w:tcPr>
            <w:tcW w:w="5400" w:type="dxa"/>
            <w:vAlign w:val="bottom"/>
          </w:tcPr>
          <w:p w14:paraId="72C05B0B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叶世豪、黄浩、贺治中、罗逸欢</w:t>
            </w:r>
          </w:p>
        </w:tc>
      </w:tr>
      <w:tr w14:paraId="2961D642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1C459BA1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指导教师</w:t>
            </w:r>
          </w:p>
        </w:tc>
        <w:tc>
          <w:tcPr>
            <w:tcW w:w="5400" w:type="dxa"/>
            <w:vAlign w:val="bottom"/>
          </w:tcPr>
          <w:p w14:paraId="35701EFE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李广</w:t>
            </w:r>
          </w:p>
        </w:tc>
      </w:tr>
      <w:tr w14:paraId="0205A4CC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29656F9B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实践日期</w:t>
            </w:r>
          </w:p>
        </w:tc>
        <w:tc>
          <w:tcPr>
            <w:tcW w:w="5400" w:type="dxa"/>
            <w:vAlign w:val="bottom"/>
          </w:tcPr>
          <w:p w14:paraId="337747AE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202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6</w:t>
            </w:r>
            <w:r>
              <w:rPr>
                <w:rFonts w:hint="eastAsia" w:ascii="宋体" w:hAnsi="宋体"/>
                <w:sz w:val="30"/>
                <w:szCs w:val="30"/>
              </w:rPr>
              <w:t>年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7</w:t>
            </w:r>
            <w:r>
              <w:rPr>
                <w:rFonts w:hint="eastAsia" w:ascii="宋体" w:hAnsi="宋体"/>
                <w:sz w:val="30"/>
                <w:szCs w:val="30"/>
              </w:rPr>
              <w:t>月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20</w:t>
            </w:r>
            <w:r>
              <w:rPr>
                <w:rFonts w:hint="eastAsia" w:ascii="宋体" w:hAnsi="宋体"/>
                <w:sz w:val="30"/>
                <w:szCs w:val="30"/>
              </w:rPr>
              <w:t>日-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7</w:t>
            </w:r>
            <w:r>
              <w:rPr>
                <w:rFonts w:hint="eastAsia" w:ascii="宋体" w:hAnsi="宋体"/>
                <w:sz w:val="30"/>
                <w:szCs w:val="30"/>
              </w:rPr>
              <w:t>月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29</w:t>
            </w:r>
            <w:r>
              <w:rPr>
                <w:rFonts w:hint="eastAsia" w:ascii="宋体" w:hAnsi="宋体"/>
                <w:sz w:val="30"/>
                <w:szCs w:val="30"/>
              </w:rPr>
              <w:t>日</w:t>
            </w:r>
          </w:p>
        </w:tc>
      </w:tr>
    </w:tbl>
    <w:p w14:paraId="2D8FDDA2">
      <w:pPr>
        <w:rPr>
          <w:rFonts w:hint="eastAsia" w:ascii="华文仿宋" w:hAnsi="华文仿宋" w:eastAsia="华文仿宋" w:cs="华文仿宋"/>
          <w:b/>
        </w:rPr>
      </w:pPr>
    </w:p>
    <w:p w14:paraId="03365A30">
      <w:pPr>
        <w:spacing w:before="400" w:after="480"/>
        <w:jc w:val="center"/>
        <w:rPr>
          <w:rFonts w:hint="eastAsia" w:eastAsia="Heiti SC"/>
          <w:b/>
          <w:sz w:val="40"/>
        </w:rPr>
        <w:sectPr>
          <w:footerReference r:id="rId5" w:type="default"/>
          <w:pgSz w:w="11906" w:h="16838"/>
          <w:pgMar w:top="1417" w:right="1417" w:bottom="1247" w:left="1587" w:header="850" w:footer="680" w:gutter="0"/>
          <w:cols w:space="720" w:num="1"/>
          <w:titlePg/>
          <w:docGrid w:linePitch="360" w:charSpace="0"/>
        </w:sectPr>
      </w:pPr>
    </w:p>
    <w:p w14:paraId="572E8EBF">
      <w:pPr>
        <w:spacing w:before="400" w:after="480"/>
        <w:jc w:val="center"/>
        <w:rPr>
          <w:rFonts w:hint="eastAsia"/>
        </w:rPr>
      </w:pPr>
      <w:r>
        <w:rPr>
          <w:rFonts w:eastAsia="Heiti SC"/>
          <w:b/>
          <w:sz w:val="40"/>
        </w:rPr>
        <w:t>目  录</w:t>
      </w:r>
    </w:p>
    <w:p w14:paraId="30270EC8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rPr>
          <w:rFonts w:ascii="Times New Roman" w:hAnsi="Times New Roman" w:eastAsia="Songti SC"/>
          <w:b/>
          <w:sz w:val="23"/>
        </w:rPr>
        <w:t>一、项目介绍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1</w:t>
      </w:r>
    </w:p>
    <w:p w14:paraId="656ECD85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rPr>
          <w:rFonts w:ascii="Times New Roman" w:hAnsi="Times New Roman" w:eastAsia="Songti SC"/>
          <w:b/>
          <w:sz w:val="23"/>
        </w:rPr>
        <w:t>二、需求分析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4</w:t>
      </w:r>
    </w:p>
    <w:p w14:paraId="66CF505D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rPr>
          <w:rFonts w:ascii="Times New Roman" w:hAnsi="Times New Roman" w:eastAsia="Songti SC"/>
          <w:b/>
          <w:sz w:val="23"/>
        </w:rPr>
        <w:t>三、概要设计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8</w:t>
      </w:r>
    </w:p>
    <w:p w14:paraId="3A4AF2F3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 w:eastAsia="Songti SC"/>
          <w:b/>
          <w:sz w:val="23"/>
        </w:rPr>
        <w:t>四、详细设计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14</w:t>
      </w:r>
    </w:p>
    <w:p w14:paraId="68573515">
      <w:pPr>
        <w:tabs>
          <w:tab w:val="left" w:pos="8107"/>
        </w:tabs>
        <w:spacing w:after="140"/>
        <w:ind w:left="624" w:right="227"/>
        <w:rPr>
          <w:rFonts w:hint="eastAsia"/>
          <w:lang w:eastAsia="zh-CN"/>
        </w:rPr>
      </w:pPr>
      <w:r>
        <w:rPr>
          <w:rFonts w:ascii="Times New Roman" w:hAnsi="Times New Roman" w:eastAsia="Songti SC"/>
          <w:b w:val="0"/>
          <w:sz w:val="23"/>
        </w:rPr>
        <w:t>1、账户与学习资料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14</w:t>
      </w:r>
    </w:p>
    <w:p w14:paraId="749C5A8A">
      <w:pPr>
        <w:tabs>
          <w:tab w:val="left" w:pos="8107"/>
        </w:tabs>
        <w:spacing w:after="140"/>
        <w:ind w:left="624" w:right="227"/>
        <w:rPr>
          <w:rFonts w:hint="eastAsia"/>
          <w:lang w:eastAsia="zh-CN"/>
        </w:rPr>
      </w:pPr>
      <w:r>
        <w:rPr>
          <w:rFonts w:ascii="Times New Roman" w:hAnsi="Times New Roman" w:eastAsia="Songti SC"/>
          <w:b w:val="0"/>
          <w:sz w:val="23"/>
        </w:rPr>
        <w:t>2、考试、商城与AI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19</w:t>
      </w:r>
    </w:p>
    <w:p w14:paraId="2D4A6043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 w:eastAsia="Songti SC"/>
          <w:b/>
          <w:sz w:val="23"/>
        </w:rPr>
        <w:t>五、系统页面展示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31</w:t>
      </w:r>
    </w:p>
    <w:p w14:paraId="195BB532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 w:eastAsia="Songti SC"/>
          <w:b/>
          <w:sz w:val="23"/>
        </w:rPr>
        <w:t>六、测试结果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35</w:t>
      </w:r>
    </w:p>
    <w:p w14:paraId="6E43043F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 w:eastAsia="Songti SC"/>
          <w:b/>
          <w:sz w:val="23"/>
        </w:rPr>
        <w:t>七、项目总结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39</w:t>
      </w:r>
    </w:p>
    <w:p w14:paraId="1C06D0DC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 w:eastAsia="Songti SC"/>
          <w:b/>
          <w:sz w:val="23"/>
        </w:rPr>
        <w:t>附录</w:t>
      </w:r>
      <w:r>
        <w:rPr>
          <w:rFonts w:ascii="Times New Roman" w:hAnsi="Times New Roman" w:eastAsia="Songti SC"/>
          <w:sz w:val="23"/>
        </w:rPr>
        <w:tab/>
      </w:r>
      <w:r>
        <w:rPr>
          <w:rFonts w:ascii="Times New Roman" w:hAnsi="Times New Roman" w:eastAsia="Songti SC"/>
          <w:sz w:val="23"/>
        </w:rPr>
        <w:t>39</w:t>
      </w:r>
    </w:p>
    <w:p w14:paraId="4C875805">
      <w:pPr>
        <w:tabs>
          <w:tab w:val="left" w:pos="8107"/>
        </w:tabs>
        <w:spacing w:after="160"/>
        <w:ind w:left="227" w:right="227"/>
        <w:rPr>
          <w:rFonts w:hint="eastAsia"/>
          <w:lang w:eastAsia="zh-CN"/>
        </w:rPr>
      </w:pPr>
    </w:p>
    <w:p w14:paraId="7F489852">
      <w:pPr>
        <w:pStyle w:val="166"/>
        <w:rPr>
          <w:rFonts w:hint="eastAsia" w:ascii="Songti SC" w:hAnsi="Songti SC" w:eastAsia="Heiti SC"/>
          <w:lang w:eastAsia="zh-CN"/>
        </w:rPr>
        <w:sectPr>
          <w:footerReference r:id="rId7" w:type="first"/>
          <w:footerReference r:id="rId6" w:type="default"/>
          <w:pgSz w:w="11906" w:h="16838"/>
          <w:pgMar w:top="1417" w:right="1417" w:bottom="1247" w:left="1587" w:header="850" w:footer="680" w:gutter="0"/>
          <w:pgNumType w:start="1"/>
          <w:cols w:space="720" w:num="1"/>
          <w:titlePg/>
          <w:docGrid w:linePitch="360" w:charSpace="0"/>
        </w:sectPr>
      </w:pPr>
    </w:p>
    <w:p w14:paraId="133D8DB4">
      <w:pPr>
        <w:pStyle w:val="166"/>
        <w:keepNext/>
      </w:pPr>
      <w:r>
        <w:rPr>
          <w:rFonts w:ascii="Times New Roman" w:hAnsi="Times New Roman" w:eastAsia="Heiti SC"/>
          <w:b/>
          <w:sz w:val="32"/>
        </w:rPr>
        <w:t>一、项目介绍</w:t>
      </w:r>
    </w:p>
    <w:p w14:paraId="3AF50BEB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1、项目背景与目标</w:t>
      </w:r>
    </w:p>
    <w:p w14:paraId="648845D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智学云考是一个面向高校学习和考试场景的Web平台。项目把学习资料、在线考试、成绩分析、AI学习辅助和后台管理放在同一套系统中，让学习、练习、考试和复习能够连成完整流程。</w:t>
      </w:r>
    </w:p>
    <w:p w14:paraId="4AE9B53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本次实训的主要目标不是追求复杂的新技术，而是把真实业务流程做完整。系统需要能够注册登录、发布和审核资料、组织考试、保存答案、自动或人工评分、查看成绩，并处理商品权益和AI使用次数。</w:t>
      </w:r>
    </w:p>
    <w:p w14:paraId="4B40572E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传统的学习资料、考试通知和成绩反馈往往分散在不同工具中，学生需要反复切换，发布者也难以统一管理。项目因此把资料、班级、考试和复习放在一个账号体系下，减少重复录入，并让学习记录能够在后续分析中继续使用。</w:t>
      </w:r>
    </w:p>
    <w:p w14:paraId="78EE958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项目定位为可运行的教学实训MVP。支付采用模拟支付，不产生真实资金交易；AI既支持本地Mock，也预留DeepSeek接口。这样的范围既能完整演示业务，又避免在实训阶段引入真实支付资质和外部服务不稳定等问题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73D63C58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542C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1"/>
              </w:rPr>
              <w:t>项目目标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38D7F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1"/>
              </w:rPr>
              <w:t>具体内容</w:t>
            </w:r>
          </w:p>
        </w:tc>
      </w:tr>
      <w:tr w14:paraId="1BD06A4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FB4F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流程完整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095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打通资料发布、学习、考试、评分、分析和复习。</w:t>
            </w:r>
          </w:p>
        </w:tc>
      </w:tr>
      <w:tr w14:paraId="2F735E1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8132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角色清楚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8AC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普通用户、发布者和管理员各自拥有对应功能。</w:t>
            </w:r>
          </w:p>
        </w:tc>
      </w:tr>
      <w:tr w14:paraId="22C82EC2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8808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运行稳定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610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关键数据能够保存，权限、时间和状态判断正确。</w:t>
            </w:r>
          </w:p>
        </w:tc>
      </w:tr>
      <w:tr w14:paraId="7AE92698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C6FB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便于维护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1837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前后端分离，模块划分明确，并配有开发文档。</w:t>
            </w:r>
          </w:p>
        </w:tc>
      </w:tr>
    </w:tbl>
    <w:p w14:paraId="6817E692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表1-1 项目主要目标</w:t>
      </w:r>
    </w:p>
    <w:p w14:paraId="160D284C">
      <w:pPr>
        <w:keepNext/>
        <w:spacing w:after="0"/>
        <w:jc w:val="center"/>
      </w:pPr>
      <w:r>
        <w:drawing>
          <wp:inline distT="0" distB="0" distL="114300" distR="114300">
            <wp:extent cx="5255895" cy="2955925"/>
            <wp:effectExtent l="0" t="0" r="1905" b="15875"/>
            <wp:docPr id="1" name="Picture 1" descr="图1-1 当前版本系统首页" title="图1-1 当前版本系统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1-1 当前版本系统首页" title="图1-1 当前版本系统首页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FDD2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图1-1 当前版本系统首页</w:t>
      </w:r>
    </w:p>
    <w:p w14:paraId="03B010F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2、项目计划与小组分工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900"/>
        <w:gridCol w:w="4800"/>
      </w:tblGrid>
      <w:tr w14:paraId="40C39F2A">
        <w:trPr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CCA0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阶段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A9C2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日期</w:t>
            </w:r>
          </w:p>
        </w:tc>
        <w:tc>
          <w:tcPr>
            <w:tcW w:w="4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127E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主要工作</w:t>
            </w:r>
          </w:p>
        </w:tc>
      </w:tr>
      <w:tr w14:paraId="07AE1280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DF0B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准备阶段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6E0C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7月20日—21日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0897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阅读文档，配置环境，检查需求和数据库结构。</w:t>
            </w:r>
          </w:p>
        </w:tc>
      </w:tr>
      <w:tr w14:paraId="734D3429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3894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核心开发</w:t>
            </w:r>
          </w:p>
        </w:tc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9A60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7月22日—24日</w:t>
            </w:r>
          </w:p>
        </w:tc>
        <w:tc>
          <w:tcPr>
            <w:tcW w:w="4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93D7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完成账户、资料、题库、试卷、考试和订单功能。</w:t>
            </w:r>
          </w:p>
        </w:tc>
      </w:tr>
      <w:tr w14:paraId="4A6CFD5E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0914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功能完善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30EC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7月25日—27日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1CD6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补充班级、AI、错题复习、线下教学和后台管理。</w:t>
            </w:r>
          </w:p>
        </w:tc>
      </w:tr>
      <w:tr w14:paraId="304F626C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9CE0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测试整理</w:t>
            </w:r>
          </w:p>
        </w:tc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7349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7月28日—29日</w:t>
            </w:r>
          </w:p>
        </w:tc>
        <w:tc>
          <w:tcPr>
            <w:tcW w:w="4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6034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回归测试，修正问题，整理实训报告和相关材料。</w:t>
            </w:r>
          </w:p>
        </w:tc>
      </w:tr>
    </w:tbl>
    <w:p w14:paraId="4FD108AC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表1-2 项目实施计划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6500"/>
      </w:tblGrid>
      <w:tr w14:paraId="77C00E07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DDB7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成员</w:t>
            </w:r>
          </w:p>
        </w:tc>
        <w:tc>
          <w:tcPr>
            <w:tcW w:w="6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9DA3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主要分工</w:t>
            </w:r>
          </w:p>
        </w:tc>
      </w:tr>
      <w:tr w14:paraId="7E347BDB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5F53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叶世豪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1350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整体协调、项目框架、AI学习助手、班级、订单权益、后台管理和线下教学。</w:t>
            </w:r>
          </w:p>
        </w:tc>
      </w:tr>
      <w:tr w14:paraId="613C4E59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C23D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黄浩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DBD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题库、试卷、考试发布、权益商城和个人中心。</w:t>
            </w:r>
          </w:p>
        </w:tc>
      </w:tr>
      <w:tr w14:paraId="35EEA1E2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7D45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贺治中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A2B0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学习资料、Markdown学习界面、资料审核发布和用户评论。</w:t>
            </w:r>
          </w:p>
        </w:tc>
      </w:tr>
      <w:tr w14:paraId="042C0F70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84FB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罗逸欢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78FF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在线答题、自动交卷、阅卷、成绩统计和发布者工作台。</w:t>
            </w:r>
          </w:p>
        </w:tc>
      </w:tr>
    </w:tbl>
    <w:p w14:paraId="2453B23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表1-3 小组成员分工</w:t>
      </w:r>
    </w:p>
    <w:p w14:paraId="385FF0D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开发过程中，小组成员也共同参与接口联调、数据库检查、页面测试和文档整理。</w:t>
      </w:r>
    </w:p>
    <w:p w14:paraId="7E4DB5C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小组以业务模块作为主要分工边界，但接口、数据库表和公共组件需要共同确认。每次模块完成后先在本地检查，再进行前后端联调；发现问题时先记录复现步骤和实际结果，再决定由前端、后端或数据库脚本处理。</w:t>
      </w:r>
    </w:p>
    <w:p w14:paraId="6964468C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项目材料与代码同步整理。除源代码外，还维护了环境配置说明、数据库脚本、API文档、开发文档和代码导读，使其他成员能够从Controller、Service、Mapper或前端路由快速找到对应实现。</w:t>
      </w:r>
    </w:p>
    <w:p w14:paraId="06B4FF5D">
      <w:r>
        <w:rPr>
          <w:rFonts w:ascii="Times New Roman" w:hAnsi="Times New Roman" w:eastAsia="Heiti SC"/>
          <w:b/>
          <w:sz w:val="32"/>
        </w:rPr>
        <w:t>二、需求分析</w:t>
      </w:r>
    </w:p>
    <w:p w14:paraId="6E85755F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1、用户角色分析</w:t>
      </w:r>
    </w:p>
    <w:p w14:paraId="1104E1C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系统主要面向普通用户、内容发布者和管理员三类角色。不同角色共享账户体系，但能够操作的功能不同。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000"/>
        <w:gridCol w:w="3700"/>
      </w:tblGrid>
      <w:tr w14:paraId="1623967C">
        <w:trPr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795B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角色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137B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主要需求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C0D53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主要权限</w:t>
            </w:r>
          </w:p>
        </w:tc>
      </w:tr>
      <w:tr w14:paraId="0E4B6413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8C3C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普通用户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7B70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学习资料、参加考试、查看成绩、使用AI辅助。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B55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浏览和购买资料、加入班级、答题、查看个人数据。</w:t>
            </w:r>
          </w:p>
        </w:tc>
      </w:tr>
      <w:tr w14:paraId="1830D3F2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0949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内容发布者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BA42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发布资料、组织考试、查看统计。</w:t>
            </w:r>
          </w:p>
        </w:tc>
        <w:tc>
          <w:tcPr>
            <w:tcW w:w="3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26D2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管理资料、题库、试卷、考试、阅卷和教学服务。</w:t>
            </w:r>
          </w:p>
        </w:tc>
      </w:tr>
      <w:tr w14:paraId="07A122EB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B58D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管理员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B0D8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维护平台秩序和业务数据。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1537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审核内容、管理用户、考试、订单、AI配置和日志。</w:t>
            </w:r>
          </w:p>
        </w:tc>
      </w:tr>
    </w:tbl>
    <w:p w14:paraId="62FA342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表2-1 系统角色及需求</w:t>
      </w:r>
    </w:p>
    <w:p w14:paraId="24EB7A75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账户与权限是所有业务的入口，后续模块都要根据登录用户和角色进行判断。</w:t>
      </w:r>
    </w:p>
    <w:p w14:paraId="149E523D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学习资料与班级模块主要解决资料发布、审核、访问范围和学习进度问题。</w:t>
      </w:r>
    </w:p>
    <w:p w14:paraId="76C94192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考试模块围绕题库、试卷、发布、答题、交卷、阅卷和成绩统计展开。</w:t>
      </w:r>
    </w:p>
    <w:p w14:paraId="4D09EA7E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订单和权益用于控制付费资料、AI次数及考试发布次数。</w:t>
      </w:r>
    </w:p>
    <w:p w14:paraId="753956E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除了三类系统角色外，班级内部还区分拥有者、管理员和普通成员。班级身份只在具体班级中生效，不能代替系统发布者或管理员角色。这样可以避免一个用户管理某个班级后，自动获得整个平台的高权限。</w:t>
      </w:r>
    </w:p>
    <w:p w14:paraId="7306EAAB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2、系统总体用例</w:t>
      </w:r>
    </w:p>
    <w:p w14:paraId="5696717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总体用例图把三类角色能够完成的主要操作放在一张图中，便于检查需求是否遗漏。</w:t>
      </w:r>
    </w:p>
    <w:p w14:paraId="704D9E34">
      <w:pPr>
        <w:keepNext/>
        <w:spacing w:after="0"/>
        <w:jc w:val="center"/>
      </w:pPr>
      <w:r>
        <w:drawing>
          <wp:inline distT="0" distB="0" distL="114300" distR="114300">
            <wp:extent cx="3671570" cy="4912360"/>
            <wp:effectExtent l="0" t="0" r="11430" b="15240"/>
            <wp:docPr id="2" name="Picture 2" descr="图2-1 系统总体用例图（参照项目设计报告）" title="图2-1 系统总体用例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2-1 系统总体用例图（参照项目设计报告）" title="图2-1 系统总体用例图（参照项目设计报告）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491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9DF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图2-1 系统总体用例图（参照项目设计报告）</w:t>
      </w:r>
    </w:p>
    <w:p w14:paraId="1FDA2972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从图中可以看出，普通用户侧重学习与考试，发布者侧重内容和考试组织，管理员侧重审核和维护。</w:t>
      </w:r>
    </w:p>
    <w:p w14:paraId="7714F2A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主要业务流程可以概括为：发布者创建资料或考试，管理员完成必要审核，普通用户取得访问资格并开展学习或作答，系统保存过程数据，最后生成成绩、学习记录和AI辅助结果。各环节都要保留状态，防止用户跳过审核、重复支付或重复交卷。</w:t>
      </w:r>
    </w:p>
    <w:p w14:paraId="6FBE52E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3、功能需求与非功能需求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3BA716C9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09E9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需求类别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37320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主要内容</w:t>
            </w:r>
          </w:p>
        </w:tc>
      </w:tr>
      <w:tr w14:paraId="11732646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9974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账户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9E8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注册、登录、个人资料、头像、公开主页和角色权限。</w:t>
            </w:r>
          </w:p>
        </w:tc>
      </w:tr>
      <w:tr w14:paraId="25359324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FB2D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学习资料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D160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Markdown正文、附件、审核发布、收藏、评论和学习进度。</w:t>
            </w:r>
          </w:p>
        </w:tc>
      </w:tr>
      <w:tr w14:paraId="038201B8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9432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班级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6C7E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邀请码加入、成员管理、公告、资料和考试发放。</w:t>
            </w:r>
          </w:p>
        </w:tc>
      </w:tr>
      <w:tr w14:paraId="16C21AEB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DB83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考试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19E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五类题目、组卷、发布、答题保存、自动交卷、阅卷和统计。</w:t>
            </w:r>
          </w:p>
        </w:tc>
      </w:tr>
      <w:tr w14:paraId="7B3775C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15C8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AI辅助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F6F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资料总结、知识讲解、考试分析、错题复习和教师推荐。</w:t>
            </w:r>
          </w:p>
        </w:tc>
      </w:tr>
      <w:tr w14:paraId="50DA2C22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8C00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商城后台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C4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模拟支付、权益发放、用户内容订单管理和操作日志。</w:t>
            </w:r>
          </w:p>
        </w:tc>
      </w:tr>
    </w:tbl>
    <w:p w14:paraId="5602BAD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表2-2 主要功能需求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22853171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53C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方面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C9140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要求</w:t>
            </w:r>
          </w:p>
        </w:tc>
      </w:tr>
      <w:tr w14:paraId="1E13515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628B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安全性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037C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密码加密保存，接口检查JWT和角色，上传文件校验类型与大小。</w:t>
            </w:r>
          </w:p>
        </w:tc>
      </w:tr>
      <w:tr w14:paraId="04C35038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913C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可靠性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9E9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答题过程及时保存，交卷和评分状态清楚，失败操作不重复扣减权益。</w:t>
            </w:r>
          </w:p>
        </w:tc>
      </w:tr>
      <w:tr w14:paraId="7DBF7AF4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CC7D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易用性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8D1BA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页面提示明确，关键时间按本地格式显示，常用功能入口容易找到。</w:t>
            </w:r>
          </w:p>
        </w:tc>
      </w:tr>
      <w:tr w14:paraId="1A5F395F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9D26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可维护性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54FF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模块边界清楚，数据库脚本和接口文档能够对应最新代码。</w:t>
            </w:r>
          </w:p>
        </w:tc>
      </w:tr>
    </w:tbl>
    <w:p w14:paraId="47DBAE6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表2-3 非功能需求</w:t>
      </w:r>
    </w:p>
    <w:p w14:paraId="3050C63F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4、主要业务流程</w:t>
      </w:r>
    </w:p>
    <w:p w14:paraId="0A275A20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（1）资料流程：发布者新建草稿，上传正文或附件，提交审核；管理员通过后资料正式发布，用户按公开、班级或付费条件访问。</w:t>
      </w:r>
    </w:p>
    <w:p w14:paraId="0F7234E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（2）考试流程：发布者维护题库并组成试卷，设置时间和参加范围后发布；考生进入考试、保存答案、交卷，系统完成自动评分并等待主观题阅卷。</w:t>
      </w:r>
    </w:p>
    <w:p w14:paraId="6D11B30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（3）权益流程：用户选择商品并创建订单，模拟支付成功后发放资料访问权或次数额度；业务成功执行后再扣减次数。</w:t>
      </w:r>
    </w:p>
    <w:p w14:paraId="6F70CE5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（4）AI流程：系统先检查资料或考试访问权和剩余额度，再创建幂等任务；AI结果成功保存后记录使用情况并扣减额度。</w:t>
      </w:r>
    </w:p>
    <w:p w14:paraId="5537AF2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（5）后台流程：管理员查看用户、资料、考试、订单和日志，对需要审核或治理的数据进行处理，并保留操作记录。</w:t>
      </w:r>
    </w:p>
    <w:p w14:paraId="27B8CD3F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5、可行性与风险分析</w:t>
      </w:r>
    </w:p>
    <w:p w14:paraId="7FAB520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技术方面，Spring Boot、MyBatis、Vue 3和MySQL均为成熟方案，小组能够在已有知识基础上完成开发。Redis负责短期状态和防刷，MinIO负责大文件，避免让单一数据库承担所有任务。</w:t>
      </w:r>
    </w:p>
    <w:p w14:paraId="250AE79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经济方面，MVP所用组件可以本地部署，支付使用模拟方式，AI也可以在Mock模式下验收，因此不需要额外购买商业服务。真实AI按成功调用扣次，并设置输入长度、并发和超时限制，便于控制调用成本。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3300"/>
        <w:gridCol w:w="2800"/>
      </w:tblGrid>
      <w:tr w14:paraId="5F95A4A2">
        <w:trPr>
          <w:tblHeader/>
          <w:jc w:val="center"/>
        </w:trPr>
        <w:tc>
          <w:tcPr>
            <w:tcW w:w="2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7E23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主要风险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8B76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当前处理</w:t>
            </w:r>
          </w:p>
        </w:tc>
        <w:tc>
          <w:tcPr>
            <w:tcW w:w="2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EF8F6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后续改进</w:t>
            </w:r>
          </w:p>
        </w:tc>
      </w:tr>
      <w:tr w14:paraId="284D2C26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6171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AI响应慢或不可用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3C81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设置超时、并发保护、幂等和失败记录。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426E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增加异步任务和消息队列。</w:t>
            </w:r>
          </w:p>
        </w:tc>
      </w:tr>
      <w:tr w14:paraId="4AE81037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2D39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大文件上传失败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30BF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前后端检查类型和大小，MinIO统一保存。</w:t>
            </w:r>
          </w:p>
        </w:tc>
        <w:tc>
          <w:tcPr>
            <w:tcW w:w="2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C283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增加分片上传和病毒扫描。</w:t>
            </w:r>
          </w:p>
        </w:tc>
      </w:tr>
      <w:tr w14:paraId="525232EE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F3E2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考试并发交卷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07CA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服务端截止时间、版本号和幂等保存。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D3E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压测后按需要拆分考试服务。</w:t>
            </w:r>
          </w:p>
        </w:tc>
      </w:tr>
      <w:tr w14:paraId="42BE1C1C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1879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模拟支付被误解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74F4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页面明确说明不代表真实交易。</w:t>
            </w:r>
          </w:p>
        </w:tc>
        <w:tc>
          <w:tcPr>
            <w:tcW w:w="2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5E90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接入持牌支付并增加回调验签。</w:t>
            </w:r>
          </w:p>
        </w:tc>
      </w:tr>
      <w:tr w14:paraId="40A351E1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E419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敏感信息泄露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DF6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加密、脱敏、角色校验和审计日志。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ED21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引入密钥管理和定期轮换。</w:t>
            </w:r>
          </w:p>
        </w:tc>
      </w:tr>
    </w:tbl>
    <w:p w14:paraId="16F3A9DE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表2-4 主要风险及处理办法</w:t>
      </w:r>
    </w:p>
    <w:p w14:paraId="2AF1B90C">
      <w:r>
        <w:rPr>
          <w:rFonts w:ascii="Times New Roman" w:hAnsi="Times New Roman" w:eastAsia="Heiti SC"/>
          <w:b/>
          <w:sz w:val="32"/>
        </w:rPr>
        <w:t>三、概要设计</w:t>
      </w:r>
    </w:p>
    <w:p w14:paraId="5A1F7EB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1、设计思想与实现方法</w:t>
      </w:r>
    </w:p>
    <w:p w14:paraId="5566BDE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项目采用“先打通主流程，再逐步补充功能”的思路。账户、资料、考试、AI、订单和后台模块相对独立，又通过统一的用户身份、权限和数据库关系连接起来。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300"/>
        <w:gridCol w:w="3600"/>
      </w:tblGrid>
      <w:tr w14:paraId="10F56658">
        <w:trPr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D0AC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层次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D937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采用技术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5B76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作用</w:t>
            </w:r>
          </w:p>
        </w:tc>
      </w:tr>
      <w:tr w14:paraId="118D94D4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67C3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前端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83A3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Vue 3、TypeScript、Vite、Element Plus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EE5B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负责页面、表单、路由和状态管理。</w:t>
            </w:r>
          </w:p>
        </w:tc>
      </w:tr>
      <w:tr w14:paraId="65C336FE">
        <w:trPr>
          <w:cantSplit/>
          <w:jc w:val="center"/>
        </w:trPr>
        <w:tc>
          <w:tcPr>
            <w:tcW w:w="1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8A93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后端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D11B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JDK 21、Spring Boot、Spring Security、MyBatis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515F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负责接口、业务规则、权限和数据访问。</w:t>
            </w:r>
          </w:p>
        </w:tc>
      </w:tr>
      <w:tr w14:paraId="02E62E3A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1AF1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数据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718A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MySQL 8、Redis 7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C58C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保存业务数据、登录防刷和考试运行状态。</w:t>
            </w:r>
          </w:p>
        </w:tc>
      </w:tr>
      <w:tr w14:paraId="0E22DF72">
        <w:trPr>
          <w:cantSplit/>
          <w:jc w:val="center"/>
        </w:trPr>
        <w:tc>
          <w:tcPr>
            <w:tcW w:w="1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4965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文件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19AE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MinIO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102D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保存封面、头像、文档、视频和附件。</w:t>
            </w:r>
          </w:p>
        </w:tc>
      </w:tr>
      <w:tr w14:paraId="5B5EA6D5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606A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AI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905C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Mock AI / DeepSeek接口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51B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支持本地测试和真实模型接入。</w:t>
            </w:r>
          </w:p>
        </w:tc>
      </w:tr>
    </w:tbl>
    <w:p w14:paraId="0A961840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表3-1 系统主要技术</w:t>
      </w:r>
    </w:p>
    <w:p w14:paraId="72DBBEE7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前后端通过JSON接口通信，浏览器不直接操作数据库。</w:t>
      </w:r>
    </w:p>
    <w:p w14:paraId="61DE6CCC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后端按控制层、业务层和数据访问层组织代码。</w:t>
      </w:r>
    </w:p>
    <w:p w14:paraId="60E42C79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模块化单体结构便于实训期间分工开发和统一部署。</w:t>
      </w:r>
    </w:p>
    <w:p w14:paraId="65CFBD6C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前端负责页面显示、表单校验和交互反馈，但不能把隐藏按钮当成真正的权限控制。后端在接口入口和业务服务中再次检查角色、资源归属与访问范围，以后端判断作为最终结果。</w:t>
      </w:r>
    </w:p>
    <w:p w14:paraId="67E65F0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后端公共层统一处理响应格式、异常、traceId、限流、审计和健康检查。业务模块只关心本领域规则，减少每个Controller重复编写错误处理和基础校验。</w:t>
      </w:r>
    </w:p>
    <w:p w14:paraId="30AA774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2、系统总体架构</w:t>
      </w:r>
    </w:p>
    <w:p w14:paraId="18244620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系统采用B/S架构。用户通过浏览器访问Vue前端，前端调用Spring Boot后端接口，后端再访问MySQL、Redis、MinIO和AI服务。</w:t>
      </w:r>
    </w:p>
    <w:p w14:paraId="2F329D33">
      <w:pPr>
        <w:keepNext/>
        <w:spacing w:after="0"/>
        <w:jc w:val="center"/>
      </w:pPr>
      <w:r>
        <w:drawing>
          <wp:inline distT="0" distB="0" distL="114300" distR="114300">
            <wp:extent cx="5471795" cy="3990975"/>
            <wp:effectExtent l="0" t="0" r="14605" b="22225"/>
            <wp:docPr id="3" name="Picture 3" descr="图3-1 系统总体架构图（参照项目设计报告）" title="图3-1 系统总体架构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3-1 系统总体架构图（参照项目设计报告）" title="图3-1 系统总体架构图（参照项目设计报告）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9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4653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图3-1 系统总体架构图（参照项目设计报告）</w:t>
      </w:r>
    </w:p>
    <w:p w14:paraId="1720E85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该结构将页面显示、业务处理和数据存储分开，便于独立测试和后续维护。</w:t>
      </w:r>
    </w:p>
    <w:p w14:paraId="0729527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浏览器请求统一经过Axios实例携带JWT和请求标识。Spring Security完成身份认证后，Controller接收参数，Service处理事务和业务规则，Mapper执行参数化SQL。出现异常时由全局异常处理器转换为统一错误码和traceId，前端据此显示提示。</w:t>
      </w:r>
    </w:p>
    <w:p w14:paraId="255F060C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3、部署结构与模块关系</w:t>
      </w:r>
    </w:p>
    <w:p w14:paraId="593EED20">
      <w:pPr>
        <w:keepNext/>
        <w:spacing w:after="0"/>
        <w:jc w:val="center"/>
      </w:pPr>
      <w:r>
        <w:drawing>
          <wp:inline distT="0" distB="0" distL="114300" distR="114300">
            <wp:extent cx="5111750" cy="2936875"/>
            <wp:effectExtent l="0" t="0" r="0" b="0"/>
            <wp:docPr id="4" name="Picture 4" descr="图3-2 系统部署图" title="图3-2 系统部署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3-2 系统部署图" title="图3-2 系统部署图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D15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图3-2 系统部署图</w:t>
      </w:r>
    </w:p>
    <w:p w14:paraId="688414C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本地联调时，Vue开发服务器通过代理访问8080端口的后端接口；后端连接MySQL、Redis和MinIO。正式部署时前端应构建为静态文件，并由反向代理提供HTTPS访问。</w:t>
      </w:r>
    </w:p>
    <w:p w14:paraId="6F6D8D6A">
      <w:pPr>
        <w:keepNext/>
        <w:spacing w:after="0"/>
        <w:jc w:val="center"/>
      </w:pPr>
      <w:r>
        <w:drawing>
          <wp:inline distT="0" distB="0" distL="114300" distR="114300">
            <wp:extent cx="3167380" cy="7706995"/>
            <wp:effectExtent l="0" t="0" r="0" b="0"/>
            <wp:docPr id="5" name="Picture 5" descr="图3-3 系统功能模块图" title="图3-3 系统功能模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3-3 系统功能模块图" title="图3-3 系统功能模块图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70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34911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图3-3 系统功能模块图</w:t>
      </w:r>
    </w:p>
    <w:p w14:paraId="52FE24E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账户模块为其他模块提供身份信息；资料和班级模块向学习进度与AI模块提供内容数据；考试模块向阅卷、成绩、AI分析和错题复习提供作答数据；订单模块控制付费资料和功能权益；后台统一维护用户、内容、考试、订单和日志。</w:t>
      </w:r>
    </w:p>
    <w:p w14:paraId="1B40E1E8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4、数据库概要设计</w:t>
      </w:r>
    </w:p>
    <w:p w14:paraId="6718F90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MySQL保存平台的主要业务数据。数据库按账户、内容、考试、班级、交易、AI和审计等主题划分，当前本地数据库共有44张业务表。</w:t>
      </w:r>
    </w:p>
    <w:p w14:paraId="5E3FE402">
      <w:pPr>
        <w:keepNext/>
        <w:spacing w:after="0"/>
        <w:jc w:val="center"/>
      </w:pPr>
      <w:r>
        <w:drawing>
          <wp:inline distT="0" distB="0" distL="114300" distR="114300">
            <wp:extent cx="5507990" cy="2592070"/>
            <wp:effectExtent l="0" t="0" r="0" b="0"/>
            <wp:docPr id="6" name="Picture 6" descr="图3-4 MVP核心数据库ER图（参照项目设计报告）" title="图3-4 MVP核心数据库ER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图3-4 MVP核心数据库ER图（参照项目设计报告）" title="图3-4 MVP核心数据库ER图（参照项目设计报告）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59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F658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图3-4 MVP核心数据库ER图（参照项目设计报告）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2CF383B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3454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数据主题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F503F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代表表</w:t>
            </w:r>
          </w:p>
        </w:tc>
      </w:tr>
      <w:tr w14:paraId="56815AF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BE6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账户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B644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users、user_profiles、roles</w:t>
            </w:r>
          </w:p>
        </w:tc>
      </w:tr>
      <w:tr w14:paraId="4A773690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DF5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内容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8CC1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learning_contents、content_files、comments</w:t>
            </w:r>
          </w:p>
        </w:tc>
      </w:tr>
      <w:tr w14:paraId="03C440C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D972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考试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BD94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questions、papers、exams、exam_sessions、answers</w:t>
            </w:r>
          </w:p>
        </w:tc>
      </w:tr>
      <w:tr w14:paraId="7A36C44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6A34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交易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D227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products、orders、entitlements</w:t>
            </w:r>
          </w:p>
        </w:tc>
      </w:tr>
    </w:tbl>
    <w:p w14:paraId="44AD7ED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表3-2 核心数据主题</w:t>
      </w:r>
    </w:p>
    <w:p w14:paraId="32F2196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数据库主键统一使用自增BIGINT，金额和分数使用DECIMAL，避免浮点误差。常用业务表保留创建时间和更新时间，需要保留历史的主数据使用逻辑删除。状态字段使用可读英文代码，不使用难以扩展的MySQL ENUM。</w:t>
      </w:r>
    </w:p>
    <w:p w14:paraId="2BE133C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考试试卷和订单项保存必要快照。这样即使题库题目或商品信息以后被修改，已经完成的考试成绩和历史订单仍能还原当时内容。文件二进制不写入MySQL，只保存MinIO对象信息。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6300"/>
      </w:tblGrid>
      <w:tr w14:paraId="30FAC643">
        <w:trPr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A7FE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业务对象</w:t>
            </w:r>
          </w:p>
        </w:tc>
        <w:tc>
          <w:tcPr>
            <w:tcW w:w="6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47E8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主要状态</w:t>
            </w:r>
          </w:p>
        </w:tc>
      </w:tr>
      <w:tr w14:paraId="0AC503E6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2A04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学习资料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F8C3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DRAFT、PENDING_REVIEW、PUBLISHED、REJECTED、OFFLINE</w:t>
            </w:r>
          </w:p>
        </w:tc>
      </w:tr>
      <w:tr w14:paraId="68F9C942">
        <w:trPr>
          <w:cantSplit/>
          <w:jc w:val="center"/>
        </w:trPr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B746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考试</w:t>
            </w:r>
          </w:p>
        </w:tc>
        <w:tc>
          <w:tcPr>
            <w:tcW w:w="6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33F2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DRAFT、PUBLISHED、ONGOING、FINISHED、CANCELLED</w:t>
            </w:r>
          </w:p>
        </w:tc>
      </w:tr>
      <w:tr w14:paraId="3FF9734A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DD4F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作答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47DA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IN_PROGRESS、SUBMITTED、AUTO_SUBMITTED、GRADING、GRADED</w:t>
            </w:r>
          </w:p>
        </w:tc>
      </w:tr>
      <w:tr w14:paraId="52CB40C2">
        <w:trPr>
          <w:cantSplit/>
          <w:jc w:val="center"/>
        </w:trPr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9057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订单</w:t>
            </w:r>
          </w:p>
        </w:tc>
        <w:tc>
          <w:tcPr>
            <w:tcW w:w="6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855E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PENDING_PAYMENT、PAID、CANCELLED、CLOSED、REFUNDED</w:t>
            </w:r>
          </w:p>
        </w:tc>
      </w:tr>
      <w:tr w14:paraId="5B994AE1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74E7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AI任务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8738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PENDING、PROCESSING、SUCCEEDED、FAILED、CANCELLED</w:t>
            </w:r>
          </w:p>
        </w:tc>
      </w:tr>
    </w:tbl>
    <w:p w14:paraId="52820715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表3-3 关键业务状态</w:t>
      </w:r>
    </w:p>
    <w:p w14:paraId="250B4C5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一致性方面，支付成功、权益发放和订单状态变更放在同一事务中；考试答案依靠作答编号和题目编号唯一约束实现幂等保存；交卷使用版本号处理手动交卷和超时交卷的竞争；AI任务先保存结果，再扣除次数。</w:t>
      </w:r>
    </w:p>
    <w:p w14:paraId="76829AEA">
      <w:r>
        <w:rPr>
          <w:rFonts w:ascii="Times New Roman" w:hAnsi="Times New Roman" w:eastAsia="Heiti SC"/>
          <w:b/>
          <w:sz w:val="32"/>
        </w:rPr>
        <w:t>四、详细设计</w:t>
      </w:r>
    </w:p>
    <w:p w14:paraId="34BCCFC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1、账户与权限模块</w:t>
      </w:r>
    </w:p>
    <w:p w14:paraId="3105E70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注册时系统检查用户名、昵称和密码格式，密码使用BCrypt加密保存。登录成功后签发JWT，前端保存登录状态，后端根据JWT识别用户和角色。</w:t>
      </w:r>
    </w:p>
    <w:p w14:paraId="2D77C243">
      <w:pPr>
        <w:keepNext/>
        <w:spacing w:after="0"/>
        <w:jc w:val="center"/>
      </w:pPr>
      <w:r>
        <w:drawing>
          <wp:inline distT="0" distB="0" distL="114300" distR="114300">
            <wp:extent cx="4607560" cy="3312160"/>
            <wp:effectExtent l="0" t="0" r="0" b="0"/>
            <wp:docPr id="7" name="Picture 7" descr="图4-1 认证与授权模块类图" title="图4-1 认证与授权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图4-1 认证与授权模块类图" title="图4-1 认证与授权模块类图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31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D19E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 认证与授权模块类图</w:t>
      </w:r>
    </w:p>
    <w:p w14:paraId="54FB451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每次请求都会重新读取账号状态和角色，因此账号被禁用或角色被调整后，旧JWT也不能继续获得原权限。登录接口还记录失败次数并进行防刷，避免简单暴力尝试。</w:t>
      </w:r>
    </w:p>
    <w:p w14:paraId="1275AC5E">
      <w:pPr>
        <w:keepNext/>
        <w:spacing w:after="0"/>
        <w:jc w:val="center"/>
      </w:pPr>
      <w:r>
        <w:drawing>
          <wp:inline distT="0" distB="0" distL="114300" distR="114300">
            <wp:extent cx="5255895" cy="2955925"/>
            <wp:effectExtent l="0" t="0" r="0" b="0"/>
            <wp:docPr id="8" name="Picture 8" descr="图4-2 当前登录页面" title="图4-2 当前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图4-2 当前登录页面" title="图4-2 当前登录页面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0DA3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 当前登录页面</w:t>
      </w:r>
    </w:p>
    <w:p w14:paraId="1D63C17F">
      <w:pPr>
        <w:keepNext/>
        <w:spacing w:after="0"/>
        <w:jc w:val="center"/>
      </w:pPr>
      <w:r>
        <w:drawing>
          <wp:inline distT="0" distB="0" distL="114300" distR="114300">
            <wp:extent cx="5255895" cy="3206750"/>
            <wp:effectExtent l="0" t="0" r="0" b="0"/>
            <wp:docPr id="9" name="Picture 9" descr="图4-3 当前注册页面" title="图4-3 当前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图4-3 当前注册页面" title="图4-3 当前注册页面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0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18B5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图4-3 当前注册页面</w:t>
      </w:r>
    </w:p>
    <w:p w14:paraId="1712DE4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登录和注册页面使用独立认证布局。表单先在前端检查必填项和格式，再提交后端；后端仍会重复校验，防止绕过浏览器直接调用接口。</w:t>
      </w:r>
    </w:p>
    <w:p w14:paraId="3FEF2388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2、学习资料模块</w:t>
      </w:r>
    </w:p>
    <w:p w14:paraId="40684B69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发布者可以编写Markdown正文，上传封面和附件，并设置公开、班级或付费访问。资料提交后由管理员审核，通过后才能正式发布。</w:t>
      </w:r>
    </w:p>
    <w:p w14:paraId="22F001C4">
      <w:pPr>
        <w:keepNext/>
        <w:spacing w:after="0"/>
        <w:jc w:val="center"/>
      </w:pPr>
      <w:r>
        <w:drawing>
          <wp:inline distT="0" distB="0" distL="114300" distR="114300">
            <wp:extent cx="5219700" cy="2134235"/>
            <wp:effectExtent l="0" t="0" r="0" b="0"/>
            <wp:docPr id="10" name="Picture 10" descr="图4-4 学习资料模块类图" title="图4-4 学习资料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图4-4 学习资料模块类图" title="图4-4 学习资料模块类图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3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35322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图4-4 学习资料模块类图</w:t>
      </w:r>
    </w:p>
    <w:p w14:paraId="244475F2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学习资料服务分为创建编辑、查询访问、审核发布和学习行为几部分。Controller只负责接收参数和返回结果，访问条件由ContentAccessService统一判断，避免列表页、详情页和文件下载各自使用不同规则。</w:t>
      </w:r>
    </w:p>
    <w:p w14:paraId="39D9E677">
      <w:pPr>
        <w:keepNext/>
        <w:spacing w:after="0"/>
        <w:jc w:val="center"/>
      </w:pPr>
      <w:r>
        <w:drawing>
          <wp:inline distT="0" distB="0" distL="114300" distR="114300">
            <wp:extent cx="5219700" cy="2855595"/>
            <wp:effectExtent l="0" t="0" r="0" b="0"/>
            <wp:docPr id="11" name="Picture 11" descr="图4-5 学习资料发布与审核时序图" title="图4-5 学习资料发布与审核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图4-5 学习资料发布与审核时序图" title="图4-5 学习资料发布与审核时序图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ECA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图4-5 学习资料发布与审核时序图</w:t>
      </w:r>
    </w:p>
    <w:p w14:paraId="464C5910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访问资料时先检查发布状态，再检查公开、班级或权益条件。</w:t>
      </w:r>
    </w:p>
    <w:p w14:paraId="4CD26AF6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学习进度、收藏、点赞和评论分别保存，便于后续统计。</w:t>
      </w:r>
    </w:p>
    <w:p w14:paraId="59804B18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文件统一由MinIO保存，数据库只记录文件信息和访问地址。</w:t>
      </w:r>
    </w:p>
    <w:p w14:paraId="4E574678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3、学习资料页面实现</w:t>
      </w:r>
    </w:p>
    <w:p w14:paraId="3E5C435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页面覆盖了普通用户浏览和学习、发布者编辑发布、管理员审核等主要流程。以下页面来自项目设计报告中的实际系统截图，并按流程逐张展示。</w:t>
      </w:r>
    </w:p>
    <w:p w14:paraId="62E15F56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12" name="Picture 12" descr="图4-6 学习资料列表页面" title="图4-6 学习资料列表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图4-6 学习资料列表页面" title="图4-6 学习资料列表页面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36BA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图4-6 学习资料列表页面</w:t>
      </w:r>
    </w:p>
    <w:p w14:paraId="173C23A3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3" name="Picture 13" descr="图4-7 学习资料详情与学习页面" title="图4-7 学习资料详情与学习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图4-7 学习资料详情与学习页面" title="图4-7 学习资料详情与学习页面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7FC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图4-7 学习资料详情与学习页面</w:t>
      </w:r>
    </w:p>
    <w:p w14:paraId="2A5C1D5E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4" name="Picture 14" descr="图4-8 发布者资料工作台" title="图4-8 发布者资料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图4-8 发布者资料工作台" title="图4-8 发布者资料工作台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27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图4-8 发布者资料工作台</w:t>
      </w:r>
    </w:p>
    <w:p w14:paraId="56143793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5" name="Picture 15" descr="图4-9 学习资料编辑与文件上传页面" title="图4-9 学习资料编辑与文件上传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图4-9 学习资料编辑与文件上传页面" title="图4-9 学习资料编辑与文件上传页面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1356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图4-9 学习资料编辑与文件上传页面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B28E8DB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BC9A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页面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A3C8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检查重点</w:t>
            </w:r>
          </w:p>
        </w:tc>
      </w:tr>
      <w:tr w14:paraId="20640512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BD94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资料列表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2D25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分类、搜索、状态和访问入口。</w:t>
            </w:r>
          </w:p>
        </w:tc>
      </w:tr>
      <w:tr w14:paraId="47C45A9B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36DC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资料详情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09F4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Markdown显示、附件、互动和学习进度。</w:t>
            </w:r>
          </w:p>
        </w:tc>
      </w:tr>
      <w:tr w14:paraId="69E0F371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EAA2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发布页面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A4F56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标题、摘要、正文、封面和访问方式。</w:t>
            </w:r>
          </w:p>
        </w:tc>
      </w:tr>
      <w:tr w14:paraId="362DBE06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E988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审核页面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B1B8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待审核列表、详情、通过或驳回。</w:t>
            </w:r>
          </w:p>
        </w:tc>
      </w:tr>
    </w:tbl>
    <w:p w14:paraId="2D247F3B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表4-1 学习资料页面检查重点</w:t>
      </w:r>
    </w:p>
    <w:p w14:paraId="39B90587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Markdown内容显示前会经过安全处理。封面、正文文件、视频、附件和字幕分别配置扩展名和大小限制，浏览器选择文件时先检查，后端再按扩展名、MIME和文件头复查。</w:t>
      </w:r>
    </w:p>
    <w:p w14:paraId="69A2491B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4、题库与在线考试模块</w:t>
      </w:r>
    </w:p>
    <w:p w14:paraId="17E2A35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发布者先维护题库和题目，再组成试卷并发布考试。系统支持单选、多选、判断、填空和简答五类题目，也支持指定考生或班级参加。</w:t>
      </w:r>
    </w:p>
    <w:p w14:paraId="34EE680E">
      <w:pPr>
        <w:keepNext/>
        <w:spacing w:after="0"/>
        <w:jc w:val="center"/>
      </w:pPr>
      <w:r>
        <w:drawing>
          <wp:inline distT="0" distB="0" distL="114300" distR="114300">
            <wp:extent cx="5219700" cy="1163320"/>
            <wp:effectExtent l="0" t="0" r="0" b="0"/>
            <wp:docPr id="16" name="Picture 16" descr="图4-10 在线考试模块类图" title="图4-10 在线考试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图4-10 在线考试模块类图" title="图4-10 在线考试模块类图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6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DB1D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图4-10 在线考试模块类图</w:t>
      </w:r>
    </w:p>
    <w:p w14:paraId="60359ED7">
      <w:pPr>
        <w:keepNext/>
        <w:spacing w:after="0"/>
        <w:jc w:val="center"/>
      </w:pPr>
      <w:r>
        <w:drawing>
          <wp:inline distT="0" distB="0" distL="114300" distR="114300">
            <wp:extent cx="5219700" cy="2998470"/>
            <wp:effectExtent l="0" t="0" r="0" b="0"/>
            <wp:docPr id="17" name="Picture 17" descr="图4-11 作答、交卷与评分时序图" title="图4-11 作答、交卷与评分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图4-11 作答、交卷与评分时序图" title="图4-11 作答、交卷与评分时序图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A543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图4-11 作答、交卷与评分时序图</w:t>
      </w:r>
    </w:p>
    <w:p w14:paraId="351FAF4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作答过程中答案会保存到考试会话中；到达截止时间后自动交卷。客观题自动评分，主观题进入人工阅卷，全部完成后生成最终成绩。</w:t>
      </w:r>
    </w:p>
    <w:p w14:paraId="671BDD6E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考生接口使用不含正确答案、解析和选项正确标记的专用响应模型。只有考试结束、阅卷完成并且发布者允许展示时，成绩页面才会返回答案和解析，从数据源头避免提前泄题。</w:t>
      </w:r>
    </w:p>
    <w:p w14:paraId="353CD09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5、发布者考试管理页面</w:t>
      </w:r>
    </w:p>
    <w:p w14:paraId="626B01D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发布者工作台集中放置题库、组卷、考试发布和阅卷功能，减少在多个入口之间切换。</w:t>
      </w:r>
    </w:p>
    <w:p w14:paraId="379899D3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18" name="Picture 18" descr="图4-12 题库管理页面" title="图4-12 题库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图4-12 题库管理页面" title="图4-12 题库管理页面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0B5C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图4-12 题库管理页面</w:t>
      </w:r>
    </w:p>
    <w:p w14:paraId="763AC7E6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9" name="Picture 19" descr="图4-13 固定试卷管理页面" title="图4-13 固定试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图4-13 固定试卷管理页面" title="图4-13 固定试卷管理页面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383A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图4-13 固定试卷管理页面</w:t>
      </w:r>
    </w:p>
    <w:p w14:paraId="142E44AD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0" name="Picture 20" descr="图4-14 考试发布管理页面" title="图4-14 考试发布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图4-14 考试发布管理页面" title="图4-14 考试发布管理页面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9DDB7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图4-14 考试发布管理页面</w:t>
      </w:r>
    </w:p>
    <w:p w14:paraId="3D41513F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1" name="Picture 21" descr="图4-15 人工阅卷页面" title="图4-15 人工阅卷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图4-15 人工阅卷页面" title="图4-15 人工阅卷页面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F6F3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图4-15 人工阅卷页面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6500"/>
      </w:tblGrid>
      <w:tr w14:paraId="1F69037F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F061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功能</w:t>
            </w:r>
          </w:p>
        </w:tc>
        <w:tc>
          <w:tcPr>
            <w:tcW w:w="6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3C7E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主要处理</w:t>
            </w:r>
          </w:p>
        </w:tc>
      </w:tr>
      <w:tr w14:paraId="05E2C156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A5C8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题库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5876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维护题目类型、题干、选项、答案和分值。</w:t>
            </w:r>
          </w:p>
        </w:tc>
      </w:tr>
      <w:tr w14:paraId="45EA48CA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61E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组卷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84E9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选择题目并计算总分，形成可复用试卷。</w:t>
            </w:r>
          </w:p>
        </w:tc>
      </w:tr>
      <w:tr w14:paraId="1164ECC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C71A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发布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B46E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设置考试时间、参加范围和试卷。</w:t>
            </w:r>
          </w:p>
        </w:tc>
      </w:tr>
      <w:tr w14:paraId="3CAA723F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E261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阅卷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D8C1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查看待批主观题，保存得分和评语。</w:t>
            </w:r>
          </w:p>
        </w:tc>
      </w:tr>
    </w:tbl>
    <w:p w14:paraId="477F92F6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表4-2 发布者考试功能</w:t>
      </w:r>
    </w:p>
    <w:p w14:paraId="05B5DFC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组卷时系统保存题目顺序和分值，并检查总分。考试发布时记录试卷快照、开始和截止时间以及参加范围，重复发布不会重复扣减考试发布权益。</w:t>
      </w:r>
    </w:p>
    <w:p w14:paraId="707C2A84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6、考生作答与成绩统计</w:t>
      </w:r>
    </w:p>
    <w:p w14:paraId="25B50369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考生进入考试后可以查看剩余时间、题目导航和当前答案。交卷后根据考试状态显示等待阅卷或最终成绩，发布者可以查看成绩分布和答题情况。</w:t>
      </w:r>
    </w:p>
    <w:p w14:paraId="294AB372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22" name="Picture 22" descr="图4-16 考生考试列表页面" title="图4-16 考生考试列表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图4-16 考生考试列表页面" title="图4-16 考生考试列表页面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DA3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图4-16 考生考试列表页面</w:t>
      </w:r>
    </w:p>
    <w:p w14:paraId="18207070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3" name="Picture 23" descr="图4-17 在线答题页面" title="图4-17 在线答题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图4-17 在线答题页面" title="图4-17 在线答题页面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C0A6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图4-17 在线答题页面</w:t>
      </w:r>
    </w:p>
    <w:p w14:paraId="7CB3093B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4" name="Picture 24" descr="图4-18 成绩详情页面" title="图4-18 成绩详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图4-18 成绩详情页面" title="图4-18 成绩详情页面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E56B2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图4-18 成绩详情页面</w:t>
      </w:r>
    </w:p>
    <w:p w14:paraId="723C24E5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25" name="Picture 25" descr="图4-19 考试统计页面" title="图4-19 考试统计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图4-19 考试统计页面" title="图4-19 考试统计页面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72E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图4-19 考试统计页面</w:t>
      </w:r>
    </w:p>
    <w:p w14:paraId="06B48931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已交卷、阅卷中和已完成状态不再显示服务端剩余倒计时。</w:t>
      </w:r>
    </w:p>
    <w:p w14:paraId="5BA4BE2B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客观题、部分得分题和待批主观题分别统计，避免把部分得分算成错误。</w:t>
      </w:r>
    </w:p>
    <w:p w14:paraId="2A724B55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试卷和考试时间统一转换为中文本地时间显示。</w:t>
      </w:r>
    </w:p>
    <w:p w14:paraId="6B0C3DF0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7、商城、订单与权益模块</w:t>
      </w:r>
    </w:p>
    <w:p w14:paraId="151B91E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平台使用模拟支付完成实训场景中的购买流程。订单支付成功后，系统根据商品类型发放资料访问权、AI次数或考试发布次数。</w:t>
      </w:r>
    </w:p>
    <w:p w14:paraId="2E145AB1">
      <w:pPr>
        <w:keepNext/>
        <w:spacing w:after="0"/>
        <w:jc w:val="center"/>
      </w:pPr>
      <w:r>
        <w:drawing>
          <wp:inline distT="0" distB="0" distL="114300" distR="114300">
            <wp:extent cx="5219700" cy="2047875"/>
            <wp:effectExtent l="0" t="0" r="0" b="0"/>
            <wp:docPr id="26" name="Picture 26" descr="图4-20 商城、订单与权益模块类图" title="图4-20 商城、订单与权益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图4-20 商城、订单与权益模块类图" title="图4-20 商城、订单与权益模块类图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4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7527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图4-20 商城、订单与权益模块类图</w:t>
      </w:r>
    </w:p>
    <w:p w14:paraId="0865B3B4">
      <w:pPr>
        <w:keepNext/>
        <w:spacing w:after="0"/>
        <w:jc w:val="center"/>
      </w:pPr>
      <w:r>
        <w:drawing>
          <wp:inline distT="0" distB="0" distL="114300" distR="114300">
            <wp:extent cx="5219700" cy="3570605"/>
            <wp:effectExtent l="0" t="0" r="0" b="0"/>
            <wp:docPr id="27" name="Picture 27" descr="图4-21 支付与权益发放时序图" title="图4-21 支付与权益发放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图4-21 支付与权益发放时序图" title="图4-21 支付与权益发放时序图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7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E7A3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图4-21 支付与权益发放时序图</w:t>
      </w:r>
    </w:p>
    <w:p w14:paraId="4E880AE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权益记录包含生效时间和剩余数量。业务接口在使用前检查权益是否有效，使用成功后再扣减，失败时不扣除。</w:t>
      </w:r>
    </w:p>
    <w:p w14:paraId="6DCC15F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订单项保存下单时的商品名称、价格和权益数量，避免商品以后修改导致历史订单变化。支付业务号和订单号都设置唯一约束，同一订单重复调用支付接口时只发放一次权益。</w:t>
      </w:r>
    </w:p>
    <w:p w14:paraId="4D1E529A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8、商城与订单页面</w:t>
      </w:r>
    </w:p>
    <w:p w14:paraId="5D7EF3A6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28" name="Picture 28" descr="图4-22 权益商城页面" title="图4-22 权益商城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图4-22 权益商城页面" title="图4-22 权益商城页面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EFBB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图4-22 权益商城页面</w:t>
      </w:r>
    </w:p>
    <w:p w14:paraId="79532732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9" name="Picture 29" descr="图4-23 我的订单页面" title="图4-23 我的订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图4-23 我的订单页面" title="图4-23 我的订单页面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BAC6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图4-23 我的订单页面</w:t>
      </w:r>
    </w:p>
    <w:p w14:paraId="10E04D32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30" name="Picture 30" descr="图4-24 我的权益页面" title="图4-24 我的权益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图4-24 我的权益页面" title="图4-24 我的权益页面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1293D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图4-24 我的权益页面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FFAB23D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BCE53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页面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D8B24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主要内容</w:t>
            </w:r>
          </w:p>
        </w:tc>
      </w:tr>
      <w:tr w14:paraId="6D0FF2DC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7D08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商城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8EC7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按商品类型筛选，查看价格和权益说明。</w:t>
            </w:r>
          </w:p>
        </w:tc>
      </w:tr>
      <w:tr w14:paraId="055A1451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3A37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订单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8016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查看订单编号、金额、状态和支付结果。</w:t>
            </w:r>
          </w:p>
        </w:tc>
      </w:tr>
      <w:tr w14:paraId="6D3B2BDD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0FA7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权益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62BE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查看资料访问权、AI次数和考试发布次数。</w:t>
            </w:r>
          </w:p>
        </w:tc>
      </w:tr>
    </w:tbl>
    <w:p w14:paraId="6A788F10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表4-3 商城页面内容</w:t>
      </w:r>
    </w:p>
    <w:p w14:paraId="1D0A0502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商城筛选已经改为明确的ALL值，当前浏览器控制台不再出现Element Plus旧属性警告。</w:t>
      </w:r>
    </w:p>
    <w:p w14:paraId="06B93A56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9、AI学习辅助模块</w:t>
      </w:r>
    </w:p>
    <w:p w14:paraId="1E5E7FB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AI模块为学习资料和考试结果提供补充说明。用户可以生成资料总结、知识讲解、个人考试分析和错题复习，发布者还可以生成整体考试分析。</w:t>
      </w:r>
    </w:p>
    <w:p w14:paraId="25435E79">
      <w:pPr>
        <w:keepNext/>
        <w:spacing w:after="0"/>
        <w:jc w:val="center"/>
      </w:pPr>
      <w:r>
        <w:drawing>
          <wp:inline distT="0" distB="0" distL="114300" distR="114300">
            <wp:extent cx="5219700" cy="2661285"/>
            <wp:effectExtent l="0" t="0" r="0" b="0"/>
            <wp:docPr id="31" name="Picture 31" descr="图4-25 AI学习辅助模块类图" title="图4-25 AI学习辅助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图4-25 AI学习辅助模块类图" title="图4-25 AI学习辅助模块类图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6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E311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图4-25 AI学习辅助模块类图</w:t>
      </w:r>
    </w:p>
    <w:p w14:paraId="5B87CFD4">
      <w:pPr>
        <w:keepNext/>
        <w:spacing w:after="0"/>
        <w:jc w:val="center"/>
      </w:pPr>
      <w:r>
        <w:drawing>
          <wp:inline distT="0" distB="0" distL="114300" distR="114300">
            <wp:extent cx="5219700" cy="3067685"/>
            <wp:effectExtent l="0" t="0" r="0" b="0"/>
            <wp:docPr id="32" name="Picture 32" descr="图4-26 AI总结与额度扣减时序图" title="图4-26 AI总结与额度扣减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图4-26 AI总结与额度扣减时序图" title="图4-26 AI总结与额度扣减时序图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6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CF3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图4-26 AI总结与额度扣减时序图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652F9D52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B9007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设计点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203D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处理方法</w:t>
            </w:r>
          </w:p>
        </w:tc>
      </w:tr>
      <w:tr w14:paraId="49C0940B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9D3D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调用方式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F536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本地可使用Mock，配置密钥后可接入DeepSeek。</w:t>
            </w:r>
          </w:p>
        </w:tc>
      </w:tr>
      <w:tr w14:paraId="3FC9C012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5565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额度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5CBC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AI结果成功保存后才扣减使用次数。</w:t>
            </w:r>
          </w:p>
        </w:tc>
      </w:tr>
      <w:tr w14:paraId="712EA8A1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BDD0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缓存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E1E5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相同资料或分析结果可复用，减少重复调用。</w:t>
            </w:r>
          </w:p>
        </w:tc>
      </w:tr>
      <w:tr w14:paraId="2058F9B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4949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异常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61F2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调用失败返回清楚提示，不影响原有学习和考试数据。</w:t>
            </w:r>
          </w:p>
        </w:tc>
      </w:tr>
    </w:tbl>
    <w:p w14:paraId="4E5CE69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表4-4 AI模块关键设计</w:t>
      </w:r>
    </w:p>
    <w:p w14:paraId="137EA55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AI调用通过AiClient接口隔离供应商。Mock实现用于本地无外网测试，DeepSeek实现负责真实请求。业务服务不直接依赖某一家模型，因此更换供应商时不需要修改资料、考试和权益模块。</w:t>
      </w:r>
    </w:p>
    <w:p w14:paraId="0C1715D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AI输入被视为不可信文本，系统提示词明确要求模型不要执行资料正文中的指令。调用过程记录任务状态、请求标识和安全错误原因，但日志不保存API Key、JWT或完整敏感正文。</w:t>
      </w:r>
    </w:p>
    <w:p w14:paraId="10C7BDC4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10、班级与线下教学模块</w:t>
      </w:r>
    </w:p>
    <w:p w14:paraId="4757AE5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班级模块支持邀请码加入、多班级、拥有者、班级管理员和普通成员。拥有者可以发布公告、管理成员并把资料或考试发放到班级；班级管理员只能在对应班级内操作，不能获得系统管理员权限。</w:t>
      </w:r>
    </w:p>
    <w:p w14:paraId="3BE2026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资料和考试通过范围关系表与班级关联。用户访问班级资料或参加班级考试时，服务层会检查当前成员状态；成员退出或被移除后，不再继续获得只属于该班级的访问资格。</w:t>
      </w:r>
    </w:p>
    <w:p w14:paraId="3F83FD2C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线下教学模块允许发布者申请成为线下教师。身份证等敏感申请数据与公开教师资料分开保存，敏感字段采用AES-GCM加密并使用HMAC进行重复检查。管理员审核通过后，普通用户只能看到公开资料和可上课时间。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3000"/>
        <w:gridCol w:w="3600"/>
      </w:tblGrid>
      <w:tr w14:paraId="57753832">
        <w:trPr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C3924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模块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40DD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关键对象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2D37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主要约束</w:t>
            </w:r>
          </w:p>
        </w:tc>
      </w:tr>
      <w:tr w14:paraId="3627839C">
        <w:trPr>
          <w:cantSplit/>
          <w:jc w:val="center"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07CE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班级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24FB1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班级、成员、班内角色、公告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F9A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班级身份只在本班生效。</w:t>
            </w:r>
          </w:p>
        </w:tc>
      </w:tr>
      <w:tr w14:paraId="6A4F4B66">
        <w:trPr>
          <w:cantSplit/>
          <w:jc w:val="center"/>
        </w:trPr>
        <w:tc>
          <w:tcPr>
            <w:tcW w:w="1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6285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班级资料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151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资料范围、成员状态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78D1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离开班级后失去班级专属访问。</w:t>
            </w:r>
          </w:p>
        </w:tc>
      </w:tr>
      <w:tr w14:paraId="131CB355">
        <w:trPr>
          <w:cantSplit/>
          <w:jc w:val="center"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1459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班级考试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AA68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考试范围、考生资格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F87C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进入考试前再次检查成员资格。</w:t>
            </w:r>
          </w:p>
        </w:tc>
      </w:tr>
      <w:tr w14:paraId="72967410">
        <w:trPr>
          <w:cantSplit/>
          <w:jc w:val="center"/>
        </w:trPr>
        <w:tc>
          <w:tcPr>
            <w:tcW w:w="1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26E8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线下教师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65E8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申请、公开资料、学生偏好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1C93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敏感申请数据不对普通用户返回。</w:t>
            </w:r>
          </w:p>
        </w:tc>
      </w:tr>
    </w:tbl>
    <w:p w14:paraId="56E46F6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表4-5 班级与线下教学设计</w:t>
      </w:r>
    </w:p>
    <w:p w14:paraId="54C2D638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11、前后端代码组织</w:t>
      </w:r>
    </w:p>
    <w:p w14:paraId="55B6DFAC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后端按业务域分包，每个领域通常包含domain、dto、mapper、service和web。阅读代码时可以从Controller找到接口入口，再沿构造器依赖进入Service，最后查看Mapper和领域对象。复杂规则优先通过测试理解。</w:t>
      </w:r>
    </w:p>
    <w:p w14:paraId="58550197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前端从router找到页面，在views中查看页面编排，再查api和types。Pinia的auth状态保存当前用户和初始化结果，路由守卫根据登录状态和角色决定是否允许进入页面。公共Markdown、上传和答题处理放在components与utils中复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000"/>
      </w:tblGrid>
      <w:tr w14:paraId="17359E11">
        <w:trPr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B2BA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代码层次</w:t>
            </w:r>
          </w:p>
        </w:tc>
        <w:tc>
          <w:tcPr>
            <w:tcW w:w="6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2AB27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主要职责</w:t>
            </w:r>
          </w:p>
        </w:tc>
      </w:tr>
      <w:tr w14:paraId="5E984270">
        <w:trPr>
          <w:cantSplit/>
          <w:jc w:val="center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FF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Controller / views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F248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接收输入、组织页面或接口响应，不承担复杂业务判断。</w:t>
            </w:r>
          </w:p>
        </w:tc>
      </w:tr>
      <w:tr w14:paraId="3ECDDD76">
        <w:trPr>
          <w:cantSplit/>
          <w:jc w:val="center"/>
        </w:trPr>
        <w:tc>
          <w:tcPr>
            <w:tcW w:w="2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408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Service / api</w:t>
            </w:r>
          </w:p>
        </w:tc>
        <w:tc>
          <w:tcPr>
            <w:tcW w:w="6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0E45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后端Service执行权限、事务和规则；前端api统一访问接口。</w:t>
            </w:r>
          </w:p>
        </w:tc>
      </w:tr>
      <w:tr w14:paraId="040DCDA7">
        <w:trPr>
          <w:cantSplit/>
          <w:jc w:val="center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1F3C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Mapper / types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48DC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Mapper执行参数化SQL；types定义前后端数据契约。</w:t>
            </w:r>
          </w:p>
        </w:tc>
      </w:tr>
      <w:tr w14:paraId="2A2801EF">
        <w:trPr>
          <w:cantSplit/>
          <w:jc w:val="center"/>
        </w:trPr>
        <w:tc>
          <w:tcPr>
            <w:tcW w:w="2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6C6B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common / utils</w:t>
            </w:r>
          </w:p>
        </w:tc>
        <w:tc>
          <w:tcPr>
            <w:tcW w:w="6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7B08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统一响应、异常、traceId、上传规则和通用纯函数。</w:t>
            </w:r>
          </w:p>
        </w:tc>
      </w:tr>
    </w:tbl>
    <w:p w14:paraId="3715C753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表4-6 前后端代码层次</w:t>
      </w:r>
    </w:p>
    <w:p w14:paraId="2563FF7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12、安全与异常处理</w:t>
      </w:r>
    </w:p>
    <w:p w14:paraId="4CC203F0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系统使用MyBatis参数绑定，用户输入不通过字符串拼接进入SQL。资料、评论和题目默认由Vue文本插值渲染；AI Markdown使用v-html时先经过DOMPurify标签、属性和URL协议白名单净化。</w:t>
      </w:r>
    </w:p>
    <w:p w14:paraId="7781472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接口同时检查系统角色和资源归属。普通用户不能读取其他人的订单、权益或AI会话，非发布者不能修改他人资料和考试。管理员操作也有边界，例如当前管理员不能禁用自己的账号。</w:t>
      </w:r>
    </w:p>
    <w:p w14:paraId="4C1E9F6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文件上传按用途检查扩展名、MIME和文件头，服务端重新生成对象名，MinIO使用私有桶和短期签名地址。超过大小限制时返回HTTP 413和明确业务码，前端显示具体提示。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3EF2D71F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6887C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安全点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4C1C0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实现方式</w:t>
            </w:r>
          </w:p>
        </w:tc>
      </w:tr>
      <w:tr w14:paraId="04FAAF8F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35BF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SQL注入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4EEE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MyBatis使用参数绑定，分页、状态和枚举经过校验。</w:t>
            </w:r>
          </w:p>
        </w:tc>
      </w:tr>
      <w:tr w14:paraId="43BAAAEE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C152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XSS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00D6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普通文本转义，AI Markdown经DOMPurify净化并配合CSP。</w:t>
            </w:r>
          </w:p>
        </w:tc>
      </w:tr>
      <w:tr w14:paraId="43051062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62D7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越权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784C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Spring Security角色校验，Service再次检查资源归属。</w:t>
            </w:r>
          </w:p>
        </w:tc>
      </w:tr>
      <w:tr w14:paraId="5B7017AF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625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答案泄露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F7A0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考生DTO不返回答案，满足展示条件后才开放解析。</w:t>
            </w:r>
          </w:p>
        </w:tc>
      </w:tr>
      <w:tr w14:paraId="7671BF08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AFB7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敏感信息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653E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密码BCrypt，身份证加密，日志不记录密钥和正文。</w:t>
            </w:r>
          </w:p>
        </w:tc>
      </w:tr>
    </w:tbl>
    <w:p w14:paraId="7B3C8D4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表4-7 主要安全控制</w:t>
      </w:r>
    </w:p>
    <w:p w14:paraId="10C21BBD">
      <w:r>
        <w:rPr>
          <w:rFonts w:ascii="Times New Roman" w:hAnsi="Times New Roman" w:eastAsia="Heiti SC"/>
          <w:b/>
          <w:sz w:val="32"/>
        </w:rPr>
        <w:t>五、系统页面展示</w:t>
      </w:r>
    </w:p>
    <w:p w14:paraId="39B4859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1、管理后台</w:t>
      </w:r>
    </w:p>
    <w:p w14:paraId="38FE22C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管理员可以在统一后台查看用户、资料、考试、订单、教师申请、AI配置和操作日志。当前管理员不能在前端禁用自己的账号，后端也保留了同样的安全校验。</w:t>
      </w:r>
    </w:p>
    <w:p w14:paraId="5FAC88FE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3" name="Picture 33" descr="图5-1 管理后台登录页面" title="图5-1 管理后台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图5-1 管理后台登录页面" title="图5-1 管理后台登录页面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FE1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图5-1 管理后台登录页面</w:t>
      </w:r>
    </w:p>
    <w:p w14:paraId="5DDD3006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4" name="Picture 34" descr="图5-2 用户管理页面" title="图5-2 用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图5-2 用户管理页面" title="图5-2 用户管理页面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460D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图5-2 用户管理页面</w:t>
      </w:r>
    </w:p>
    <w:p w14:paraId="120F4A3F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5" name="Picture 35" descr="图5-3 内容管理页面" title="图5-3 内容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图5-3 内容管理页面" title="图5-3 内容管理页面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6FC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图5-3 内容管理页面</w:t>
      </w:r>
    </w:p>
    <w:p w14:paraId="7F69A75B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6" name="Picture 36" descr="图5-4 考试与订单管理页面" title="图5-4 考试与订单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图5-4 考试与订单管理页面" title="图5-4 考试与订单管理页面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683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图5-4 考试与订单管理页面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03F864F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2724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管理对象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8DDC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主要操作</w:t>
            </w:r>
          </w:p>
        </w:tc>
      </w:tr>
      <w:tr w14:paraId="37B69906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061A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用户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A3F5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查看、启用或禁用其他账号。</w:t>
            </w:r>
          </w:p>
        </w:tc>
      </w:tr>
      <w:tr w14:paraId="25D4E92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386C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资料与考试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F7DD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审核、查看状态、处理异常内容。</w:t>
            </w:r>
          </w:p>
        </w:tc>
      </w:tr>
      <w:tr w14:paraId="23E2DE4E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A3540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订单与权益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1E60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查询订单和权益发放情况。</w:t>
            </w:r>
          </w:p>
        </w:tc>
      </w:tr>
      <w:tr w14:paraId="0D0CDC61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6265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日志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0791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记录关键管理操作，便于追查。</w:t>
            </w:r>
          </w:p>
        </w:tc>
      </w:tr>
    </w:tbl>
    <w:p w14:paraId="42D10E8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表5-1 管理后台主要操作</w:t>
      </w:r>
    </w:p>
    <w:p w14:paraId="5351EBC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高风险管理操作保留二次确认，例如角色调整、内容下架和考试处理。后端统一记录管理员、操作类型、对象和时间，便于出现问题后查询。</w:t>
      </w:r>
    </w:p>
    <w:p w14:paraId="18BD10D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2、当前版本公开页面</w:t>
      </w:r>
    </w:p>
    <w:p w14:paraId="4759C98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以下截图由当前项目实际启动后采集。首页显示后端服务连接正常，登录和注册页面能够正常打开，页面布局和主要文字显示正确。</w:t>
      </w:r>
    </w:p>
    <w:p w14:paraId="547923CE">
      <w:pPr>
        <w:keepNext/>
        <w:spacing w:after="0"/>
        <w:jc w:val="center"/>
      </w:pPr>
      <w:r>
        <w:drawing>
          <wp:inline distT="0" distB="0" distL="114300" distR="114300">
            <wp:extent cx="5327650" cy="2996565"/>
            <wp:effectExtent l="0" t="0" r="0" b="0"/>
            <wp:docPr id="37" name="Picture 37" descr="图5-5 2026年7月28日实测首页" title="图5-5 2026年7月28日实测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图5-5 2026年7月28日实测首页" title="图5-5 2026年7月28日实测首页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A1D1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图5-5 2026年7月28日实测首页</w:t>
      </w:r>
    </w:p>
    <w:p w14:paraId="5A4C90E8">
      <w:pPr>
        <w:keepNext/>
        <w:spacing w:after="0"/>
        <w:jc w:val="center"/>
      </w:pPr>
      <w:r>
        <w:drawing>
          <wp:inline distT="0" distB="0" distL="114300" distR="114300">
            <wp:extent cx="5327650" cy="2996565"/>
            <wp:effectExtent l="0" t="0" r="0" b="0"/>
            <wp:docPr id="38" name="Picture 38" descr="图5-6 2026年7月28日实测登录页面" title="图5-6 2026年7月28日实测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图5-6 2026年7月28日实测登录页面" title="图5-6 2026年7月28日实测登录页面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5FD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图5-6 2026年7月28日实测登录页面</w:t>
      </w:r>
    </w:p>
    <w:p w14:paraId="6F629BF0">
      <w:pPr>
        <w:keepNext/>
        <w:spacing w:after="0"/>
        <w:jc w:val="center"/>
      </w:pPr>
      <w:r>
        <w:drawing>
          <wp:inline distT="0" distB="0" distL="114300" distR="114300">
            <wp:extent cx="5327650" cy="3250565"/>
            <wp:effectExtent l="0" t="0" r="0" b="0"/>
            <wp:docPr id="39" name="Picture 39" descr="图5-7 2026年7月28日实测注册页面" title="图5-7 2026年7月28日实测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图5-7 2026年7月28日实测注册页面" title="图5-7 2026年7月28日实测注册页面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5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CE8A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图5-7 2026年7月28日实测注册页面</w:t>
      </w:r>
    </w:p>
    <w:p w14:paraId="1F54A5A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需要登录的学习、考试、AI和班级页面由路由守卫保护，未登录访问时会自动转到登录页面。</w:t>
      </w:r>
    </w:p>
    <w:p w14:paraId="6B79A50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页面设计以PC Web为主，导航栏集中放置首页、学习资料、考试中心和AI学习助手。表单和列表使用统一组件，加载、空数据、失败和无权限状态都有对应提示。</w:t>
      </w:r>
    </w:p>
    <w:p w14:paraId="754FFB05">
      <w:r>
        <w:rPr>
          <w:rFonts w:ascii="Times New Roman" w:hAnsi="Times New Roman" w:eastAsia="Heiti SC"/>
          <w:b/>
          <w:sz w:val="32"/>
        </w:rPr>
        <w:t>六、测试结果</w:t>
      </w:r>
    </w:p>
    <w:p w14:paraId="1EF787F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1、测试环境与测试方法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174FD3E8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8FBBEB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项目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3E86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测试环境或方法</w:t>
            </w:r>
          </w:p>
        </w:tc>
      </w:tr>
      <w:tr w14:paraId="69F83919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F8B3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操作系统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6A38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macOS，本地开发环境。</w:t>
            </w:r>
          </w:p>
        </w:tc>
      </w:tr>
      <w:tr w14:paraId="0C0D1CB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E23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后端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3727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JDK 21、Spring Boot，执行完整自动化测试。</w:t>
            </w:r>
          </w:p>
        </w:tc>
      </w:tr>
      <w:tr w14:paraId="1203B6B2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885F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前端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2EE3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Node.js、Vue 3，执行单元测试、类型检查和正式构建。</w:t>
            </w:r>
          </w:p>
        </w:tc>
      </w:tr>
      <w:tr w14:paraId="154E1679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C9EB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数据库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B244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MySQL 8，检查升级脚本和44张业务表。</w:t>
            </w:r>
          </w:p>
        </w:tc>
      </w:tr>
      <w:tr w14:paraId="51920B5F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F813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页面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AC5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启动前后端后，用浏览器检查首页、登录、注册和关键业务页面。</w:t>
            </w:r>
          </w:p>
        </w:tc>
      </w:tr>
      <w:tr w14:paraId="3A00D96E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5A93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问题复测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AD97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按照原手动测试问题清单逐项检查修改结果。</w:t>
            </w:r>
          </w:p>
        </w:tc>
      </w:tr>
    </w:tbl>
    <w:p w14:paraId="3F3C6CEE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表6-1 测试环境与方法</w:t>
      </w:r>
    </w:p>
    <w:p w14:paraId="66504E71">
      <w:pPr>
        <w:keepNext/>
        <w:spacing w:after="0"/>
        <w:jc w:val="center"/>
      </w:pPr>
      <w:r>
        <w:drawing>
          <wp:inline distT="0" distB="0" distL="114300" distR="114300">
            <wp:extent cx="4967605" cy="2545715"/>
            <wp:effectExtent l="0" t="0" r="0" b="0"/>
            <wp:docPr id="40" name="Picture 40" descr="图6-1 项目验证数据概览" title="图6-1 项目验证数据概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图6-1 项目验证数据概览" title="图6-1 项目验证数据概览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A2E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图6-1 项目验证数据概览</w:t>
      </w:r>
    </w:p>
    <w:p w14:paraId="73E8455E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后端156项测试和前端17项测试全部通过，前端TypeScript检查与Vite正式构建成功。</w:t>
      </w:r>
    </w:p>
    <w:p w14:paraId="1584CD49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2、测试范围与判定原则</w:t>
      </w:r>
    </w:p>
    <w:p w14:paraId="5A7949C9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测试覆盖认证、资料、班级、题库、试卷、考试、阅卷、订单、权益、AI、线下教师和后台管理。自动化测试用于检查接口和业务规则，浏览器测试用于确认页面显示、跳转、提示和控制台情况。</w:t>
      </w:r>
    </w:p>
    <w:p w14:paraId="035DFBD2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判定“通过”不仅要求接口返回成功，还要检查数据库或页面刷新后的结果。例如人工阅卷保存后需要刷新页面确认分数和评语仍存在；模拟支付后需要检查订单状态和权益余额；交卷后需要检查考试状态和倒计时是否正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200"/>
        <w:gridCol w:w="3200"/>
      </w:tblGrid>
      <w:tr w14:paraId="02FB7460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17884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测试层次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90A17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重点内容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BD1F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通过标准</w:t>
            </w:r>
          </w:p>
        </w:tc>
      </w:tr>
      <w:tr w14:paraId="5D174093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A226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单元与集成测试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03C8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业务规则、权限、事务、幂等和异常。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07E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测试命令全部通过，无阻断失败。</w:t>
            </w:r>
          </w:p>
        </w:tc>
      </w:tr>
      <w:tr w14:paraId="68C164D4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051E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类型与构建检查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17C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前端类型、依赖和生产打包。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F2D3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TypeScript检查及Vite构建成功。</w:t>
            </w:r>
          </w:p>
        </w:tc>
      </w:tr>
      <w:tr w14:paraId="26133FEB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540C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数据库检查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B406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表、字段、索引、升级脚本和关键状态。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56D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最新结构可用，业务流程无缺表缺字段。</w:t>
            </w:r>
          </w:p>
        </w:tc>
      </w:tr>
      <w:tr w14:paraId="1B1B7C06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41C4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浏览器回归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E51E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页面、表单、路由、提示和控制台。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6AF7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操作结果正确，无影响使用的报错。</w:t>
            </w:r>
          </w:p>
        </w:tc>
      </w:tr>
    </w:tbl>
    <w:p w14:paraId="1310390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表6-2 测试层次与判定原则</w:t>
      </w:r>
    </w:p>
    <w:p w14:paraId="35BE08F5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3、问题清单复测结果（一）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5300"/>
        <w:gridCol w:w="1200"/>
      </w:tblGrid>
      <w:tr w14:paraId="76CB6779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5853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测试项目</w:t>
            </w:r>
          </w:p>
        </w:tc>
        <w:tc>
          <w:tcPr>
            <w:tcW w:w="5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031C3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最新结果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058E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结论</w:t>
            </w:r>
          </w:p>
        </w:tc>
      </w:tr>
      <w:tr w14:paraId="55C46D12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FF79E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数据库升级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EB9A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当前数据库共有44张业务表，登录及相关页面能够正常使用。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59FD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156C085C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4B6E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人工阅卷保存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6423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简答题设为18分后保存、刷新，分数与评语保持正确。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925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0B3630A5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3232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已交卷倒计时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21E3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已交卷、阅卷中和已完成状态不再启动或显示倒计时。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C295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2EA0FC96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7632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首页信息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340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删除固定68%进度和旧提示，浏览器复查正常。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52C1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23EF761C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20B0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暂定成绩统计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025F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部分得分和待批改分别统计，18/20不再算作错误。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3458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</w:tbl>
    <w:p w14:paraId="7851822D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表6-3 问题清单复测结果（一）</w:t>
      </w:r>
    </w:p>
    <w:p w14:paraId="6B1EB9D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前五项主要涉及数据库结构、考试状态、阅卷数据和页面信息。修改后均通过针对性回归检查。</w:t>
      </w:r>
    </w:p>
    <w:p w14:paraId="5783C62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数据库升级项通过登录、表数量和相关页面共同判断；考试倒计时和暂定成绩统计项则同时检查后端状态与前端显示，避免只修改页面文字而没有修正数据逻辑。</w:t>
      </w:r>
    </w:p>
    <w:p w14:paraId="5CBEBCAA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4、问题清单复测结果（二）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5300"/>
        <w:gridCol w:w="1200"/>
      </w:tblGrid>
      <w:tr w14:paraId="70D42504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92B51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测试项目</w:t>
            </w:r>
          </w:p>
        </w:tc>
        <w:tc>
          <w:tcPr>
            <w:tcW w:w="5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C8EC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最新结果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F902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结论</w:t>
            </w:r>
          </w:p>
        </w:tc>
      </w:tr>
      <w:tr w14:paraId="28257428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B929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管理员自我禁用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925B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当前管理员状态按钮禁用，操作函数和后端继续拦截。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0BAB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4975F58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685A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商城页面警告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A2E6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筛选改用ALL值，控制台不再出现旧属性警告。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364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330D9BDA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4A69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后端测试警告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FDCD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测试启动时预加载Java Agent，156项测试通过。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DBE5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78FE86D9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2B4D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前端测试覆盖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9039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增加6项页面回归检查，共17项通过，覆盖仍可继续增加。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85A5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有所改善</w:t>
            </w:r>
          </w:p>
        </w:tc>
      </w:tr>
      <w:tr w14:paraId="485D14F6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650E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试卷时间显示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2508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原始ISO时间改为中文本地时间显示。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5C7D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</w:tbl>
    <w:p w14:paraId="04C3F09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表6-4 问题清单复测结果（二）</w:t>
      </w:r>
    </w:p>
    <w:p w14:paraId="765942C2">
      <w:pPr>
        <w:keepNext/>
        <w:spacing w:after="0"/>
        <w:jc w:val="center"/>
      </w:pPr>
      <w:r>
        <w:drawing>
          <wp:inline distT="0" distB="0" distL="114300" distR="114300">
            <wp:extent cx="4103370" cy="2682875"/>
            <wp:effectExtent l="0" t="0" r="0" b="0"/>
            <wp:docPr id="41" name="Picture 41" descr="图6-2 问题清单复测结论" title="图6-2 问题清单复测结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图6-2 问题清单复测结论" title="图6-2 问题清单复测结论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657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图6-2 问题清单复测结论</w:t>
      </w:r>
    </w:p>
    <w:p w14:paraId="7DE491C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十项问题中九项确认通过，一项为“有所改善”。该项已经增加前端测试，但页面与端到端覆盖仍可以继续补充。</w:t>
      </w:r>
    </w:p>
    <w:p w14:paraId="11B6CBE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本次结果只说明当前本地版本和当前测试环境下的情况。真实支付、真实DeepSeek密钥和大并发场景不在本次验证范围内。</w:t>
      </w:r>
    </w:p>
    <w:p w14:paraId="529E5CF9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5、典型测试过程说明</w:t>
      </w:r>
    </w:p>
    <w:p w14:paraId="39226DC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人工阅卷测试先进入待批主观题，将简答题分数设置为18分并填写评语，保存后观察成功提示，再刷新页面检查输入框仍为18.00且评语未丢失。该过程验证了前端回显、接口保存和数据库持久化三个环节。</w:t>
      </w:r>
    </w:p>
    <w:p w14:paraId="1AE6A52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考试状态测试把已完成作答的截止时间临时设置到未来，确认SUBMITTED、GRADING和GRADED状态不再显示服务端剩余时间。这样可以证明倒计时由考试状态和时间共同控制，而不是只看截止时间。</w:t>
      </w:r>
    </w:p>
    <w:p w14:paraId="0A2D261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成绩统计测试分别准备满分、部分得分、错误和待批改题目，确认18/20被统计为部分得分而不是错误，未批主观题进入待批改数量。测试结果与成绩详情保持一致。</w:t>
      </w:r>
    </w:p>
    <w:p w14:paraId="30AAE3B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安全回归还检查了普通用户访问发布者或管理员接口、非所有者访问他人资料和订单、伪造或过期JWT、文件类型伪装以及未满足条件时提前读取正确答案等情况。</w:t>
      </w:r>
    </w:p>
    <w:p w14:paraId="364C669A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6、测试不足与后续计划</w:t>
      </w:r>
    </w:p>
    <w:p w14:paraId="444CC98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当前前端测试已增加页面回归检查，但总体上仍以工具函数和关键状态为主，完整端到端覆盖较少。后续可以使用Playwright补充注册登录、发布资料、参加考试和商城购买等连续流程。</w:t>
      </w:r>
    </w:p>
    <w:p w14:paraId="50A71CBE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真实DeepSeek鉴权、响应质量、费用、限流和超时需要在配置真实密钥后单独验收；模拟支付不能替代真实支付的签名、回调、退款和对账测试；考试高并发也需要在独立压测环境中完成。</w:t>
      </w:r>
    </w:p>
    <w:p w14:paraId="3BA48A4A">
      <w:bookmarkStart w:id="0" w:name="_GoBack"/>
      <w:bookmarkEnd w:id="0"/>
      <w:r>
        <w:rPr>
          <w:rFonts w:ascii="Times New Roman" w:hAnsi="Times New Roman" w:eastAsia="Heiti SC"/>
          <w:b/>
          <w:sz w:val="32"/>
        </w:rPr>
        <w:t>七、项目总结</w:t>
      </w:r>
    </w:p>
    <w:p w14:paraId="5BDB593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本次实训完成了一个可以实际运行的智能在线学习考试平台。小组从需求、数据库和基础框架开始，逐步完成了学习资料、在线考试、商城权益、AI辅助、班级、线下教学和后台管理等功能。</w:t>
      </w:r>
    </w:p>
    <w:p w14:paraId="79042AC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通过这次项目，小组对前后端联调、权限控制、考试状态、数据一致性和软件测试有了更直观的认识。后续还可以继续补充真实支付、更多题目导入方式、更细的学习统计和更完整的端到端测试。</w:t>
      </w:r>
    </w:p>
    <w:p w14:paraId="6D5BDE5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项目中最重要的体会是，页面能够点击并不等于功能真正完成。只有把权限、事务、状态、数据库结果和刷新后的页面一起检查，才能确认一条业务流程可靠。问题清单复测也说明，小范围修改配合针对性测试能够减少对原有代码的影响。</w:t>
      </w:r>
    </w:p>
    <w:p w14:paraId="4C0A35C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小组还认识到文档和注释需要跟随代码更新。最新版本补充了模块职责、典型调用链、数据库约定和安全说明，后续成员可以更快定位接口和业务规则，也便于继续扩展班级、AI和线下教学功能。</w:t>
      </w:r>
    </w:p>
    <w:p w14:paraId="141FF3D8">
      <w:pPr>
        <w:pStyle w:val="166"/>
        <w:keepNext/>
      </w:pPr>
      <w:r>
        <w:rPr>
          <w:rFonts w:ascii="Times New Roman" w:hAnsi="Times New Roman" w:eastAsia="Heiti SC"/>
          <w:b/>
          <w:sz w:val="32"/>
        </w:rPr>
        <w:t>附录</w:t>
      </w:r>
    </w:p>
    <w:p w14:paraId="71A37A79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附录A 项目主要目录和规模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6100"/>
      </w:tblGrid>
      <w:tr w14:paraId="20CA7DCE">
        <w:trPr>
          <w:tblHeader/>
          <w:jc w:val="center"/>
        </w:trPr>
        <w:tc>
          <w:tcPr>
            <w:tcW w:w="2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225A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项目内容</w:t>
            </w:r>
          </w:p>
        </w:tc>
        <w:tc>
          <w:tcPr>
            <w:tcW w:w="6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0388F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位置或数量</w:t>
            </w:r>
          </w:p>
        </w:tc>
      </w:tr>
      <w:tr w14:paraId="1FF44C31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7B84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后端代码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03AB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codes/backend；当前约419个Java源文件。</w:t>
            </w:r>
          </w:p>
        </w:tc>
      </w:tr>
      <w:tr w14:paraId="51AB1239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C79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前端代码</w:t>
            </w:r>
          </w:p>
        </w:tc>
        <w:tc>
          <w:tcPr>
            <w:tcW w:w="6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1F3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codes/frontend/learning_platform_frontend；当前约46个Vue页面或组件文件。</w:t>
            </w:r>
          </w:p>
        </w:tc>
      </w:tr>
      <w:tr w14:paraId="2079533F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E50F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数据库脚本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743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codes/database；当前10个SQL脚本。</w:t>
            </w:r>
          </w:p>
        </w:tc>
      </w:tr>
      <w:tr w14:paraId="3D17F45A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76F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项目文档</w:t>
            </w:r>
          </w:p>
        </w:tc>
        <w:tc>
          <w:tcPr>
            <w:tcW w:w="6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3B95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codes目录下当前39个Markdown说明文档。</w:t>
            </w:r>
          </w:p>
        </w:tc>
      </w:tr>
      <w:tr w14:paraId="4B72BC30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2BB2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业务数据表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49A5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当前本地数据库44张业务表。</w:t>
            </w:r>
          </w:p>
        </w:tc>
      </w:tr>
    </w:tbl>
    <w:p w14:paraId="31374E3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表A-1 项目主要目录和规模</w:t>
      </w:r>
    </w:p>
    <w:p w14:paraId="43411CD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附录B 主要参考文档</w:t>
      </w:r>
    </w:p>
    <w:p w14:paraId="19A3DBD2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项目设计报告：需求、架构、数据库、类图、时序图及系统截图。</w:t>
      </w:r>
    </w:p>
    <w:p w14:paraId="1886EA2C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环境配置说明：JDK、Node.js、MySQL、Redis、MinIO和启动方法。</w:t>
      </w:r>
    </w:p>
    <w:p w14:paraId="6055B0BD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API文档、开发文档和代码导读：接口说明、模块关系和维护方法。</w:t>
      </w:r>
    </w:p>
    <w:p w14:paraId="21F4D798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手动测试报告：问题清单、复测方法和最新处理结果。</w:t>
      </w:r>
    </w:p>
    <w:sectPr>
      <w:footerReference r:id="rId9" w:type="first"/>
      <w:footerReference r:id="rId8" w:type="default"/>
      <w:pgSz w:w="11906" w:h="16838"/>
      <w:pgMar w:top="1417" w:right="1417" w:bottom="1247" w:left="1587" w:header="850" w:footer="68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iti SC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楷体_GB2312">
    <w:altName w:val="汉仪楷体简"/>
    <w:panose1 w:val="00000000000000000000"/>
    <w:charset w:val="00"/>
    <w:family w:val="modern"/>
    <w:pitch w:val="default"/>
    <w:sig w:usb0="00000000" w:usb1="00000000" w:usb2="0000001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34E745">
    <w:pPr>
      <w:pStyle w:val="24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C058B">
    <w:pPr>
      <w:pStyle w:val="24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11140A">
    <w:pPr>
      <w:pStyle w:val="24"/>
      <w:rPr>
        <w:rFonts w:hint="eastAsia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9F4E5E">
    <w:pPr>
      <w:pStyle w:val="24"/>
      <w:jc w:val="center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3" name="文本框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839515">
                          <w:pPr>
                            <w:pStyle w:val="24"/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hint="eastAsia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uduMMtAgAAVwQAAA4AAABkcnMvZTJvRG9jLnhtbK1UzY7TMBC+I/EO&#10;lu80aRd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r6+okQzhYqfvn87&#10;/fh1+vmV4AwCtdbPEPdgERm6t6ZD2wznHoeRd1c5Fb9gROCHvMeLvKILhMdL08l0msPF4Rs2wM8e&#10;r1vnwzthFIlGQR3ql2Rlh40PfegQErNps26kTDWUmrQFvb56k6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HuduMM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839515">
                    <w:pPr>
                      <w:pStyle w:val="24"/>
                      <w:jc w:val="center"/>
                      <w:rPr>
                        <w:rFonts w:hint="eastAsia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rFonts w:hint="eastAsia"/>
                        <w:sz w:val="20"/>
                      </w:rPr>
                      <w:fldChar w:fldCharType="separate"/>
                    </w:r>
                    <w:r>
                      <w:rPr>
                        <w:rFonts w:hint="eastAsia"/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ADD6D1">
    <w:pPr>
      <w:pStyle w:val="24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2" name="文本框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3C0095">
                          <w:pPr>
                            <w:pStyle w:val="24"/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PQ64MtAgAAVwQAAA4AAABkcnMvZTJvRG9jLnhtbK1UzY7TMBC+I/EO&#10;lu80aYFVVT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NPQ64M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63C0095">
                    <w:pPr>
                      <w:pStyle w:val="24"/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3C5D"/>
    <w:rsid w:val="00250904"/>
    <w:rsid w:val="0029639D"/>
    <w:rsid w:val="00326F90"/>
    <w:rsid w:val="005817DA"/>
    <w:rsid w:val="008531C0"/>
    <w:rsid w:val="00AA1D8D"/>
    <w:rsid w:val="00B47730"/>
    <w:rsid w:val="00CB0664"/>
    <w:rsid w:val="00FC693F"/>
    <w:rsid w:val="6EE6C07C"/>
    <w:rsid w:val="6F7D9040"/>
    <w:rsid w:val="76CFA7A0"/>
    <w:rsid w:val="76E7D813"/>
    <w:rsid w:val="7997A3DD"/>
    <w:rsid w:val="79EDE535"/>
    <w:rsid w:val="7FFD8F5A"/>
    <w:rsid w:val="BDEE78B0"/>
    <w:rsid w:val="EEFCDA2C"/>
    <w:rsid w:val="F74D9E97"/>
    <w:rsid w:val="FBFE0380"/>
    <w:rsid w:val="FDB7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ongti SC" w:hAnsi="Songti SC" w:eastAsia="Songti SC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Times New Roman" w:hAnsi="Times New Roman" w:eastAsia="Songti SC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不明显强调1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明显强调1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不明显参考1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明显参考1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书籍标题1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标题1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正文1"/>
    <w:basedOn w:val="1"/>
    <w:uiPriority w:val="0"/>
    <w:pPr>
      <w:spacing w:after="100" w:line="348" w:lineRule="auto"/>
      <w:ind w:firstLine="420"/>
      <w:jc w:val="both"/>
    </w:pPr>
    <w:rPr>
      <w:rFonts w:ascii="Times New Roman" w:hAnsi="Times New Roman" w:eastAsia="Songti SC"/>
      <w:sz w:val="23"/>
    </w:rPr>
  </w:style>
  <w:style w:type="paragraph" w:customStyle="1" w:styleId="165">
    <w:name w:val="简要列表"/>
    <w:basedOn w:val="1"/>
    <w:uiPriority w:val="0"/>
    <w:pPr>
      <w:spacing w:after="60" w:line="324" w:lineRule="auto"/>
      <w:ind w:left="420" w:hanging="255"/>
    </w:pPr>
    <w:rPr>
      <w:rFonts w:ascii="Times New Roman" w:hAnsi="Times New Roman" w:eastAsia="Songti SC"/>
    </w:rPr>
  </w:style>
  <w:style w:type="paragraph" w:customStyle="1" w:styleId="166">
    <w:name w:val="标题 11"/>
    <w:basedOn w:val="3"/>
    <w:uiPriority w:val="0"/>
    <w:pPr>
      <w:keepNext/>
    </w:pPr>
    <w:rPr>
      <w:rFonts w:ascii="Heiti SC" w:hAnsi="Heiti SC" w:eastAsia="Heiti SC"/>
      <w:color w:val="000000"/>
      <w:sz w:val="32"/>
    </w:rPr>
  </w:style>
  <w:style w:type="paragraph" w:customStyle="1" w:styleId="167">
    <w:name w:val="标题 21"/>
    <w:basedOn w:val="4"/>
    <w:uiPriority w:val="0"/>
    <w:pPr>
      <w:keepNext/>
    </w:pPr>
    <w:rPr>
      <w:rFonts w:ascii="Heiti SC" w:hAnsi="Heiti SC" w:eastAsia="Heiti SC"/>
      <w:color w:val="000000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2" Type="http://schemas.openxmlformats.org/officeDocument/2006/relationships/fontTable" Target="fontTable.xml"/><Relationship Id="rId51" Type="http://schemas.openxmlformats.org/officeDocument/2006/relationships/customXml" Target="../customXml/item2.xml"/><Relationship Id="rId50" Type="http://schemas.openxmlformats.org/officeDocument/2006/relationships/numbering" Target="numbering.xml"/><Relationship Id="rId5" Type="http://schemas.openxmlformats.org/officeDocument/2006/relationships/footer" Target="footer1.xml"/><Relationship Id="rId49" Type="http://schemas.openxmlformats.org/officeDocument/2006/relationships/customXml" Target="../customXml/item1.xml"/><Relationship Id="rId48" Type="http://schemas.openxmlformats.org/officeDocument/2006/relationships/image" Target="media/image38.png"/><Relationship Id="rId47" Type="http://schemas.openxmlformats.org/officeDocument/2006/relationships/image" Target="media/image37.png"/><Relationship Id="rId46" Type="http://schemas.openxmlformats.org/officeDocument/2006/relationships/image" Target="media/image36.png"/><Relationship Id="rId45" Type="http://schemas.openxmlformats.org/officeDocument/2006/relationships/image" Target="media/image35.png"/><Relationship Id="rId44" Type="http://schemas.openxmlformats.org/officeDocument/2006/relationships/image" Target="media/image34.png"/><Relationship Id="rId43" Type="http://schemas.openxmlformats.org/officeDocument/2006/relationships/image" Target="media/image33.png"/><Relationship Id="rId42" Type="http://schemas.openxmlformats.org/officeDocument/2006/relationships/image" Target="media/image32.png"/><Relationship Id="rId41" Type="http://schemas.openxmlformats.org/officeDocument/2006/relationships/image" Target="media/image31.png"/><Relationship Id="rId40" Type="http://schemas.openxmlformats.org/officeDocument/2006/relationships/image" Target="media/image30.png"/><Relationship Id="rId4" Type="http://schemas.openxmlformats.org/officeDocument/2006/relationships/endnotes" Target="endnotes.xml"/><Relationship Id="rId39" Type="http://schemas.openxmlformats.org/officeDocument/2006/relationships/image" Target="media/image29.png"/><Relationship Id="rId38" Type="http://schemas.openxmlformats.org/officeDocument/2006/relationships/image" Target="media/image28.png"/><Relationship Id="rId37" Type="http://schemas.openxmlformats.org/officeDocument/2006/relationships/image" Target="media/image27.png"/><Relationship Id="rId36" Type="http://schemas.openxmlformats.org/officeDocument/2006/relationships/image" Target="media/image26.png"/><Relationship Id="rId35" Type="http://schemas.openxmlformats.org/officeDocument/2006/relationships/image" Target="media/image25.png"/><Relationship Id="rId34" Type="http://schemas.openxmlformats.org/officeDocument/2006/relationships/image" Target="media/image24.png"/><Relationship Id="rId33" Type="http://schemas.openxmlformats.org/officeDocument/2006/relationships/image" Target="media/image23.png"/><Relationship Id="rId32" Type="http://schemas.openxmlformats.org/officeDocument/2006/relationships/image" Target="media/image22.png"/><Relationship Id="rId31" Type="http://schemas.openxmlformats.org/officeDocument/2006/relationships/image" Target="media/image21.png"/><Relationship Id="rId30" Type="http://schemas.openxmlformats.org/officeDocument/2006/relationships/image" Target="media/image20.png"/><Relationship Id="rId3" Type="http://schemas.openxmlformats.org/officeDocument/2006/relationships/footnotes" Target="footnotes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jpeg"/><Relationship Id="rId18" Type="http://schemas.openxmlformats.org/officeDocument/2006/relationships/image" Target="media/image8.jpe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DDDD</Company>
  <Pages>36</Pages>
  <Words>1729</Words>
  <Characters>1955</Characters>
  <Lines>115</Lines>
  <Paragraphs>131</Paragraphs>
  <TotalTime>16</TotalTime>
  <ScaleCrop>false</ScaleCrop>
  <LinksUpToDate>false</LinksUpToDate>
  <CharactersWithSpaces>3553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2013-12-25T15:15:00Z</dcterms:created>
  <dc:creator>叶世豪小组</dc:creator>
  <dc:description>generated by python-docx</dc:description>
  <cp:keywords>实习报告, 需求分析, 概要设计, 详细设计, 测试结果</cp:keywords>
  <cp:lastModifiedBy>黄浩</cp:lastModifiedBy>
  <dcterms:modified xsi:type="dcterms:W3CDTF">2026-07-28T10:45:20Z</dcterms:modified>
  <dc:subject>智学云考——智能在线学习考试平台</dc:subject>
  <dc:title>实习报告-叶世豪小组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91E4B0A09743390867B3666A59EF19D7_42</vt:lpwstr>
  </property>
</Properties>
</file>