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</w:rPr>
      </w:pPr>
      <w:r>
        <w:rPr>
          <w:rFonts w:hint="eastAsia"/>
          <w:b/>
          <w:sz w:val="28"/>
          <w:szCs w:val="28"/>
        </w:rPr>
        <w:t>实训项目立项申请书</w:t>
      </w:r>
    </w:p>
    <w:tbl>
      <w:tblPr>
        <w:tblW w:w="836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"/>
        <w:gridCol w:w="1679"/>
        <w:gridCol w:w="512"/>
        <w:gridCol w:w="548"/>
        <w:gridCol w:w="1018"/>
        <w:gridCol w:w="1052"/>
        <w:gridCol w:w="1011"/>
        <w:gridCol w:w="234"/>
        <w:gridCol w:w="1776"/>
      </w:tblGrid>
      <w:tr>
        <w:trPr>
          <w:trHeight w:val="434" w:hRule="atLeast"/>
        </w:trPr>
        <w:tc>
          <w:tcPr>
            <w:tcW w:w="221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/>
                <w:b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b/>
                <w:sz w:val="18"/>
                <w:szCs w:val="18"/>
              </w:rPr>
              <w:t>项目名称 ：</w:t>
            </w:r>
          </w:p>
        </w:tc>
        <w:tc>
          <w:tcPr>
            <w:tcW w:w="6151" w:type="dxa"/>
            <w:gridSpan w:val="7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智能在线学习考试系统</w:t>
            </w:r>
          </w:p>
        </w:tc>
      </w:tr>
      <w:tr>
        <w:trPr>
          <w:trHeight w:val="455" w:hRule="atLeast"/>
        </w:trPr>
        <w:tc>
          <w:tcPr>
            <w:tcW w:w="221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b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b/>
                <w:sz w:val="18"/>
                <w:szCs w:val="18"/>
              </w:rPr>
              <w:t>指导老师 ：</w:t>
            </w:r>
          </w:p>
        </w:tc>
        <w:tc>
          <w:tcPr>
            <w:tcW w:w="10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待填写</w:t>
            </w:r>
          </w:p>
        </w:tc>
        <w:tc>
          <w:tcPr>
            <w:tcW w:w="10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b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b/>
                <w:sz w:val="18"/>
                <w:szCs w:val="18"/>
              </w:rPr>
              <w:t>方向 ：</w:t>
            </w:r>
          </w:p>
        </w:tc>
        <w:tc>
          <w:tcPr>
            <w:tcW w:w="10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在线学习、在线考试与基础AI应用</w:t>
            </w:r>
          </w:p>
        </w:tc>
        <w:tc>
          <w:tcPr>
            <w:tcW w:w="124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b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b/>
                <w:sz w:val="18"/>
                <w:szCs w:val="18"/>
              </w:rPr>
              <w:t>小组名称：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待填写</w:t>
            </w:r>
          </w:p>
        </w:tc>
      </w:tr>
      <w:tr>
        <w:trPr>
          <w:trHeight w:val="415" w:hRule="atLeast"/>
        </w:trPr>
        <w:tc>
          <w:tcPr>
            <w:tcW w:w="534" w:type="dxa"/>
            <w:vMerge w:val="restart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ind w:start="113" w:end="113"/>
              <w:jc w:val="center"/>
              <w:rPr>
                <w:rFonts w:ascii="Arial Unicode MS" w:hAnsi="Arial Unicode MS" w:cs="Arial Unicode MS" w:hint="eastAsia"/>
                <w:b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b/>
                <w:sz w:val="18"/>
                <w:szCs w:val="18"/>
              </w:rPr>
              <w:t>开发环境</w:t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ascii="Arial Unicode MS" w:hAnsi="Arial Unicode MS" w:cs="Arial Unicode MS"/>
                <w:sz w:val="18"/>
                <w:szCs w:val="18"/>
              </w:rPr>
              <w:t>平台及版本</w:t>
            </w:r>
          </w:p>
        </w:tc>
        <w:tc>
          <w:tcPr>
            <w:tcW w:w="61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前端：Vue 3、Vite；后端：Spring Boot、Maven（具体版本待定）</w:t>
            </w:r>
          </w:p>
        </w:tc>
      </w:tr>
      <w:tr>
        <w:trPr>
          <w:trHeight w:val="415" w:hRule="atLeast"/>
        </w:trPr>
        <w:tc>
          <w:tcPr>
            <w:tcW w:w="534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b/>
                <w:color w:val="333333"/>
                <w:sz w:val="18"/>
                <w:szCs w:val="18"/>
              </w:rPr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sz w:val="18"/>
                <w:szCs w:val="18"/>
              </w:rPr>
              <w:t>硬件环境</w:t>
            </w:r>
          </w:p>
        </w:tc>
        <w:tc>
          <w:tcPr>
            <w:tcW w:w="61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待填写（MVP方案未明确开发设备配置）</w:t>
            </w:r>
          </w:p>
        </w:tc>
      </w:tr>
      <w:tr>
        <w:trPr>
          <w:trHeight w:val="415" w:hRule="atLeast"/>
        </w:trPr>
        <w:tc>
          <w:tcPr>
            <w:tcW w:w="534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b/>
                <w:color w:val="333333"/>
                <w:sz w:val="18"/>
                <w:szCs w:val="18"/>
              </w:rPr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sz w:val="18"/>
                <w:szCs w:val="18"/>
              </w:rPr>
              <w:t>适用分辨率</w:t>
            </w:r>
          </w:p>
        </w:tc>
        <w:tc>
          <w:tcPr>
            <w:tcW w:w="61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待填写（MVP方案未明确适用分辨率）</w:t>
            </w:r>
          </w:p>
        </w:tc>
      </w:tr>
      <w:tr>
        <w:trPr>
          <w:trHeight w:val="415" w:hRule="atLeast"/>
        </w:trPr>
        <w:tc>
          <w:tcPr>
            <w:tcW w:w="534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b/>
                <w:color w:val="333333"/>
                <w:sz w:val="18"/>
                <w:szCs w:val="18"/>
              </w:rPr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sz w:val="18"/>
                <w:szCs w:val="18"/>
              </w:rPr>
              <w:t>开发</w:t>
            </w:r>
            <w:r>
              <w:rPr>
                <w:rFonts w:cs="Arial Unicode MS" w:hint="eastAsia" w:ascii="Arial Unicode MS" w:hAnsi="Arial Unicode MS"/>
                <w:sz w:val="18"/>
                <w:szCs w:val="18"/>
              </w:rPr>
              <w:t>IDE</w:t>
            </w:r>
          </w:p>
        </w:tc>
        <w:tc>
          <w:tcPr>
            <w:tcW w:w="61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待填写（MVP方案未明确IDE及版本）</w:t>
            </w:r>
          </w:p>
        </w:tc>
      </w:tr>
      <w:tr>
        <w:trPr>
          <w:trHeight w:val="415" w:hRule="atLeast"/>
        </w:trPr>
        <w:tc>
          <w:tcPr>
            <w:tcW w:w="534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b/>
                <w:color w:val="333333"/>
                <w:sz w:val="18"/>
                <w:szCs w:val="18"/>
              </w:rPr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sz w:val="18"/>
                <w:szCs w:val="18"/>
              </w:rPr>
              <w:t>使用语言</w:t>
            </w:r>
          </w:p>
        </w:tc>
        <w:tc>
          <w:tcPr>
            <w:tcW w:w="61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Java（Spring Boot）、JavaScript（Vue 3）</w:t>
            </w:r>
          </w:p>
        </w:tc>
      </w:tr>
      <w:tr>
        <w:trPr>
          <w:trHeight w:val="391" w:hRule="atLeast"/>
        </w:trPr>
        <w:tc>
          <w:tcPr>
            <w:tcW w:w="534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b/>
                <w:color w:val="333333"/>
                <w:sz w:val="18"/>
                <w:szCs w:val="18"/>
              </w:rPr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sz w:val="18"/>
                <w:szCs w:val="18"/>
              </w:rPr>
              <w:t>类库支持</w:t>
            </w:r>
          </w:p>
        </w:tc>
        <w:tc>
          <w:tcPr>
            <w:tcW w:w="61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Vue Router、Pinia、Axios、Element Plus、Spring Security、MyBatis、JWT</w:t>
            </w:r>
          </w:p>
        </w:tc>
      </w:tr>
      <w:tr>
        <w:trPr>
          <w:trHeight w:val="411" w:hRule="atLeast"/>
        </w:trPr>
        <w:tc>
          <w:tcPr>
            <w:tcW w:w="534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b/>
                <w:color w:val="333333"/>
                <w:sz w:val="18"/>
                <w:szCs w:val="18"/>
              </w:rPr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sz w:val="18"/>
                <w:szCs w:val="18"/>
              </w:rPr>
              <w:t>数据库</w:t>
            </w:r>
          </w:p>
        </w:tc>
        <w:tc>
          <w:tcPr>
            <w:tcW w:w="61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MySQL（业务数据）、Redis（验证码、登录状态、考试缓存、接口限流）</w:t>
            </w:r>
          </w:p>
        </w:tc>
      </w:tr>
      <w:tr>
        <w:trPr>
          <w:trHeight w:val="404" w:hRule="atLeast"/>
        </w:trPr>
        <w:tc>
          <w:tcPr>
            <w:tcW w:w="534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b/>
                <w:color w:val="333333"/>
                <w:sz w:val="18"/>
                <w:szCs w:val="18"/>
              </w:rPr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sz w:val="18"/>
                <w:szCs w:val="18"/>
              </w:rPr>
              <w:t>中间件服务器</w:t>
            </w:r>
          </w:p>
        </w:tc>
        <w:tc>
          <w:tcPr>
            <w:tcW w:w="61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MinIO（文档、视频和附件存储）；采用模块化单体架构</w:t>
            </w:r>
          </w:p>
        </w:tc>
      </w:tr>
      <w:tr>
        <w:trPr>
          <w:trHeight w:val="410" w:hRule="atLeast"/>
        </w:trPr>
        <w:tc>
          <w:tcPr>
            <w:tcW w:w="534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b/>
                <w:color w:val="333333"/>
                <w:sz w:val="18"/>
                <w:szCs w:val="18"/>
              </w:rPr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sz w:val="18"/>
                <w:szCs w:val="18"/>
              </w:rPr>
              <w:t>浏览器</w:t>
            </w:r>
            <w:r>
              <w:rPr>
                <w:rFonts w:cs="Arial Unicode MS" w:hint="eastAsia" w:ascii="Arial Unicode MS" w:hAnsi="Arial Unicode MS"/>
                <w:sz w:val="18"/>
                <w:szCs w:val="18"/>
              </w:rPr>
              <w:t>(</w:t>
            </w:r>
            <w:r>
              <w:rPr>
                <w:rFonts w:ascii="Arial Unicode MS" w:hAnsi="Arial Unicode MS" w:cs="Arial Unicode MS" w:hint="eastAsia"/>
                <w:sz w:val="18"/>
                <w:szCs w:val="18"/>
              </w:rPr>
              <w:t>版本</w:t>
            </w:r>
            <w:r>
              <w:rPr>
                <w:rFonts w:cs="Arial Unicode MS" w:hint="eastAsia" w:ascii="Arial Unicode MS" w:hAnsi="Arial Unicode MS"/>
                <w:sz w:val="18"/>
                <w:szCs w:val="18"/>
              </w:rPr>
              <w:t>)</w:t>
            </w:r>
          </w:p>
        </w:tc>
        <w:tc>
          <w:tcPr>
            <w:tcW w:w="61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待填写（MVP方案未明确浏览器版本）</w:t>
            </w:r>
          </w:p>
        </w:tc>
      </w:tr>
      <w:tr>
        <w:trPr>
          <w:trHeight w:val="415" w:hRule="atLeast"/>
        </w:trPr>
        <w:tc>
          <w:tcPr>
            <w:tcW w:w="534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b/>
                <w:color w:val="333333"/>
                <w:sz w:val="18"/>
                <w:szCs w:val="18"/>
              </w:rPr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sz w:val="18"/>
                <w:szCs w:val="18"/>
              </w:rPr>
              <w:t>三方插件</w:t>
            </w:r>
          </w:p>
        </w:tc>
        <w:tc>
          <w:tcPr>
            <w:tcW w:w="61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AI模型服务（具体模型及接口待定）</w:t>
            </w:r>
          </w:p>
        </w:tc>
      </w:tr>
      <w:tr>
        <w:trPr>
          <w:trHeight w:val="1400" w:hRule="atLeast"/>
          <w:cantSplit/>
        </w:trPr>
        <w:tc>
          <w:tcPr>
            <w:tcW w:w="5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ind w:start="113" w:end="113"/>
              <w:jc w:val="center"/>
              <w:rPr>
                <w:rFonts w:ascii="Arial Unicode MS" w:hAnsi="Arial Unicode MS" w:cs="Arial Unicode MS" w:hint="eastAsia"/>
                <w:b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b/>
                <w:sz w:val="18"/>
                <w:szCs w:val="18"/>
              </w:rPr>
              <w:t>使用技术点</w:t>
            </w:r>
          </w:p>
        </w:tc>
        <w:tc>
          <w:tcPr>
            <w:tcW w:w="7830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jc w:val="start"/>
              <w:rPr>
                <w:rFonts w:ascii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前后端分离的模块化单体架构，基于JWT和Spring Security实现认证与权限控制。</w:t>
            </w:r>
          </w:p>
          <w:p>
            <w:pPr>
              <w:pStyle w:val="Normal"/>
              <w:numPr>
                <w:ilvl w:val="0"/>
                <w:numId w:val="2"/>
              </w:numPr>
              <w:jc w:val="start"/>
              <w:rPr>
                <w:rFonts w:ascii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使用MySQL持久化业务数据，Redis处理验证码、登录状态、考试缓存和接口限流，MinIO存储文件。</w:t>
            </w:r>
          </w:p>
          <w:p>
            <w:pPr>
              <w:pStyle w:val="Normal"/>
              <w:numPr>
                <w:ilvl w:val="0"/>
                <w:numId w:val="2"/>
              </w:numPr>
              <w:jc w:val="start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实现在线学习、定时保存与自动交卷、自动/人工阅卷、AI总结与讲解，以及订单、权益和额度扣除。</w:t>
            </w:r>
          </w:p>
        </w:tc>
      </w:tr>
      <w:tr>
        <w:trPr>
          <w:trHeight w:val="312" w:hRule="atLeast"/>
          <w:cantSplit/>
        </w:trPr>
        <w:tc>
          <w:tcPr>
            <w:tcW w:w="534" w:type="dxa"/>
            <w:vMerge w:val="restart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ind w:start="113" w:end="113"/>
              <w:jc w:val="center"/>
              <w:rPr>
                <w:rFonts w:ascii="Arial Unicode MS" w:hAnsi="Arial Unicode MS" w:cs="Arial Unicode MS" w:hint="eastAsia"/>
                <w:b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b/>
                <w:sz w:val="18"/>
                <w:szCs w:val="18"/>
              </w:rPr>
              <w:t>主要功能模块</w:t>
            </w:r>
          </w:p>
        </w:tc>
        <w:tc>
          <w:tcPr>
            <w:tcW w:w="21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b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b/>
                <w:sz w:val="18"/>
                <w:szCs w:val="18"/>
              </w:rPr>
              <w:t>功能名称</w:t>
            </w:r>
          </w:p>
        </w:tc>
        <w:tc>
          <w:tcPr>
            <w:tcW w:w="386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b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b/>
                <w:sz w:val="18"/>
                <w:szCs w:val="18"/>
              </w:rPr>
              <w:t>实现效果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b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b/>
                <w:sz w:val="18"/>
                <w:szCs w:val="18"/>
              </w:rPr>
              <w:t>负责人</w:t>
            </w:r>
          </w:p>
        </w:tc>
      </w:tr>
      <w:tr>
        <w:trPr>
          <w:trHeight w:val="309" w:hRule="atLeast"/>
          <w:cantSplit/>
        </w:trPr>
        <w:tc>
          <w:tcPr>
            <w:tcW w:w="534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rFonts w:ascii="Arial Unicode MS" w:hAnsi="Arial Unicode MS" w:cs="Arial Unicode MS" w:hint="eastAsia"/>
                <w:b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b/>
                <w:sz w:val="18"/>
                <w:szCs w:val="18"/>
              </w:rPr>
            </w:r>
          </w:p>
        </w:tc>
        <w:tc>
          <w:tcPr>
            <w:tcW w:w="21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学习资料与在线学习</w:t>
            </w:r>
          </w:p>
        </w:tc>
        <w:tc>
          <w:tcPr>
            <w:tcW w:w="386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发布、审核及免费/付费访问资料；记录进度，支持收藏、点赞和评论。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待填写</w:t>
            </w:r>
          </w:p>
        </w:tc>
      </w:tr>
      <w:tr>
        <w:trPr>
          <w:trHeight w:val="323" w:hRule="atLeast"/>
          <w:cantSplit/>
        </w:trPr>
        <w:tc>
          <w:tcPr>
            <w:tcW w:w="534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b/>
                <w:color w:val="333333"/>
                <w:sz w:val="18"/>
                <w:szCs w:val="18"/>
              </w:rPr>
            </w:r>
          </w:p>
        </w:tc>
        <w:tc>
          <w:tcPr>
            <w:tcW w:w="21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题库与在线考试</w:t>
            </w:r>
          </w:p>
        </w:tc>
        <w:tc>
          <w:tcPr>
            <w:tcW w:w="386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支持五类题型、固定组卷、指定考生、在线答题、保存答案及超时交卷。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待填写</w:t>
            </w:r>
          </w:p>
        </w:tc>
      </w:tr>
      <w:tr>
        <w:trPr>
          <w:trHeight w:val="323" w:hRule="atLeast"/>
          <w:cantSplit/>
        </w:trPr>
        <w:tc>
          <w:tcPr>
            <w:tcW w:w="534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b/>
                <w:color w:val="333333"/>
                <w:sz w:val="18"/>
                <w:szCs w:val="18"/>
              </w:rPr>
            </w:r>
          </w:p>
        </w:tc>
        <w:tc>
          <w:tcPr>
            <w:tcW w:w="21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阅卷、成绩与统计</w:t>
            </w:r>
          </w:p>
        </w:tc>
        <w:tc>
          <w:tcPr>
            <w:tcW w:w="386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客观题自动评分、主观题人工评分；展示成绩、解析及基础考试统计。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待填写</w:t>
            </w:r>
          </w:p>
        </w:tc>
      </w:tr>
      <w:tr>
        <w:trPr>
          <w:trHeight w:val="395" w:hRule="atLeast"/>
          <w:cantSplit/>
        </w:trPr>
        <w:tc>
          <w:tcPr>
            <w:tcW w:w="534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b/>
                <w:color w:val="333333"/>
                <w:sz w:val="18"/>
                <w:szCs w:val="18"/>
              </w:rPr>
            </w:r>
          </w:p>
        </w:tc>
        <w:tc>
          <w:tcPr>
            <w:tcW w:w="21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AI学习与付费</w:t>
            </w:r>
          </w:p>
        </w:tc>
        <w:tc>
          <w:tcPr>
            <w:tcW w:w="386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实现资料总结、知识讲解，以及资料、AI/考试次数包订单、模拟支付和额度扣除。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待填写</w:t>
            </w:r>
          </w:p>
        </w:tc>
      </w:tr>
      <w:tr>
        <w:trPr>
          <w:trHeight w:val="395" w:hRule="atLeast"/>
          <w:cantSplit/>
        </w:trPr>
        <w:tc>
          <w:tcPr>
            <w:tcW w:w="534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b/>
                <w:color w:val="333333"/>
                <w:sz w:val="18"/>
                <w:szCs w:val="18"/>
              </w:rPr>
            </w:r>
          </w:p>
        </w:tc>
        <w:tc>
          <w:tcPr>
            <w:tcW w:w="21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认证与管理后台</w:t>
            </w:r>
          </w:p>
        </w:tc>
        <w:tc>
          <w:tcPr>
            <w:tcW w:w="386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实现注册登录、权限控制，以及用户、内容、分类、考试、订单、AI配置和日志管理。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待填写</w:t>
            </w:r>
          </w:p>
        </w:tc>
      </w:tr>
      <w:tr>
        <w:trPr>
          <w:trHeight w:val="1222" w:hRule="atLeast"/>
          <w:cantSplit/>
        </w:trPr>
        <w:tc>
          <w:tcPr>
            <w:tcW w:w="5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tbRl"/>
            <w:vAlign w:val="center"/>
          </w:tcPr>
          <w:p>
            <w:pPr>
              <w:pStyle w:val="Normal"/>
              <w:ind w:start="113" w:end="113"/>
              <w:jc w:val="center"/>
              <w:rPr>
                <w:rFonts w:ascii="Arial Unicode MS" w:hAnsi="Arial Unicode MS" w:cs="Arial Unicode MS" w:hint="eastAsia"/>
                <w:b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b/>
                <w:sz w:val="18"/>
                <w:szCs w:val="18"/>
              </w:rPr>
              <w:t>扩展部分</w:t>
            </w:r>
          </w:p>
        </w:tc>
        <w:tc>
          <w:tcPr>
            <w:tcW w:w="7830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后续版本可扩展：多机构与多租户、班级和部门管理、直播课程、随机组卷、题目批量导入、智能推荐、AI自动出题与考试分析、智能监考与人脸识别、证书、成绩申诉、创作者结算、优惠券与发票、Elasticsearch、向量数据库及微服务架构。</w:t>
            </w:r>
          </w:p>
        </w:tc>
      </w:tr>
      <w:tr>
        <w:trPr>
          <w:trHeight w:val="468" w:hRule="atLeast"/>
        </w:trPr>
        <w:tc>
          <w:tcPr>
            <w:tcW w:w="221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b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b/>
                <w:sz w:val="18"/>
                <w:szCs w:val="18"/>
              </w:rPr>
              <w:t>项目开始时间：</w:t>
            </w:r>
          </w:p>
        </w:tc>
        <w:tc>
          <w:tcPr>
            <w:tcW w:w="207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待填写</w:t>
            </w:r>
          </w:p>
        </w:tc>
        <w:tc>
          <w:tcPr>
            <w:tcW w:w="206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b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b/>
                <w:sz w:val="18"/>
                <w:szCs w:val="18"/>
              </w:rPr>
              <w:t>项目结束时间：</w:t>
            </w:r>
          </w:p>
        </w:tc>
        <w:tc>
          <w:tcPr>
            <w:tcW w:w="20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Unicode MS" w:hAnsi="Arial Unicode MS" w:cs="Arial Unicode MS" w:hint="eastAsia"/>
                <w:b/>
                <w:color w:val="333333"/>
                <w:sz w:val="18"/>
                <w:szCs w:val="18"/>
              </w:rPr>
            </w:pPr>
            <w:r>
              <w:rPr>
                <w:rFonts w:ascii="Arial Unicode MS" w:hAnsi="Arial Unicode MS" w:eastAsia="Arial Unicode MS" w:cs="Arial Unicode MS"/>
                <w:sz w:val="18"/>
                <w:szCs w:val="18"/>
              </w:rPr>
              <w:t>待填写</w:t>
            </w:r>
          </w:p>
        </w:tc>
      </w:tr>
      <w:tr>
        <w:trPr>
          <w:trHeight w:val="2035" w:hRule="atLeast"/>
        </w:trPr>
        <w:tc>
          <w:tcPr>
            <w:tcW w:w="221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Unicode MS" w:hAnsi="Arial Unicode MS" w:cs="Arial Unicode MS" w:hint="eastAsia"/>
                <w:b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b/>
                <w:sz w:val="18"/>
                <w:szCs w:val="18"/>
              </w:rPr>
              <w:t>指导老师意见</w:t>
            </w:r>
          </w:p>
        </w:tc>
        <w:tc>
          <w:tcPr>
            <w:tcW w:w="61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firstLineChars="400" w:startChars="0" w:start="0" w:endChars="0" w:end="0"/>
              <w:rPr>
                <w:rFonts w:ascii="Arial Unicode MS" w:hAnsi="Arial Unicode MS" w:cs="Arial Unicode MS" w:hint="eastAsia"/>
                <w:b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b/>
                <w:sz w:val="18"/>
                <w:szCs w:val="18"/>
              </w:rPr>
            </w:r>
          </w:p>
          <w:p>
            <w:pPr>
              <w:pStyle w:val="Normal"/>
              <w:ind w:firstLineChars="400" w:startChars="0" w:start="0" w:endChars="0" w:end="0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sz w:val="18"/>
                <w:szCs w:val="18"/>
              </w:rPr>
            </w:r>
          </w:p>
          <w:p>
            <w:pPr>
              <w:pStyle w:val="Normal"/>
              <w:ind w:firstLineChars="400" w:startChars="0" w:start="0" w:endChars="0" w:end="0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sz w:val="18"/>
                <w:szCs w:val="18"/>
              </w:rPr>
            </w:r>
          </w:p>
          <w:p>
            <w:pPr>
              <w:pStyle w:val="Normal"/>
              <w:ind w:firstLineChars="400" w:startChars="0" w:start="0" w:endChars="0" w:end="0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sz w:val="18"/>
                <w:szCs w:val="18"/>
              </w:rPr>
            </w:r>
          </w:p>
          <w:p>
            <w:pPr>
              <w:pStyle w:val="Normal"/>
              <w:ind w:firstLineChars="400" w:startChars="0" w:start="0" w:endChars="0" w:end="0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cs="Arial Unicode MS" w:hint="eastAsia" w:ascii="Arial Unicode MS" w:hAnsi="Arial Unicode MS"/>
                <w:sz w:val="18"/>
                <w:szCs w:val="18"/>
              </w:rPr>
            </w:r>
          </w:p>
          <w:p>
            <w:pPr>
              <w:pStyle w:val="Normal"/>
              <w:ind w:firstLineChars="500" w:startChars="0" w:start="0" w:endChars="0" w:end="0"/>
              <w:rPr>
                <w:rFonts w:ascii="Arial Unicode MS" w:hAnsi="Arial Unicode MS" w:cs="Arial Unicode MS" w:hint="eastAsia"/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sz w:val="18"/>
                <w:szCs w:val="18"/>
              </w:rPr>
              <w:t>指导老师签字：                  签字日期：</w:t>
            </w:r>
          </w:p>
        </w:tc>
      </w:tr>
    </w:tbl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zh-CN"/>
      </w:rPr>
    </w:pPr>
    <w:r>
      <w:rPr>
        <w:lang w:val="zh-CN"/>
      </w:rPr>
      <w:t>[</w:t>
    </w:r>
    <w:r>
      <w:rPr>
        <w:lang w:val="zh-CN"/>
      </w:rPr>
      <w:t>键入文字</w:t>
    </w:r>
    <w:r>
      <w:rPr>
        <w:lang w:val="zh-CN"/>
      </w:rPr>
      <w:t>]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青软集团实训项目开题报告</w:t>
    </w:r>
  </w:p>
  <w:p>
    <w:pPr>
      <w:pStyle w:val="Header"/>
      <w:jc w:val="both"/>
      <w:rPr>
        <w:rFonts w:ascii="Cambria" w:hAnsi="Cambria" w:cs="Cambria"/>
        <w:szCs w:val="44"/>
      </w:rPr>
    </w:pPr>
    <w:r>
      <w:rPr>
        <w:rFonts w:cs="Cambria" w:ascii="Cambria" w:hAnsi="Cambria"/>
        <w:szCs w:val="4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20" w:hanging="420"/>
      </w:p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Arial Unicode MS" w:cs="Times New Roman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widowControl/>
      <w:numPr>
        <w:ilvl w:val="0"/>
        <w:numId w:val="1"/>
      </w:numPr>
      <w:spacing w:lineRule="auto" w:line="276" w:before="480" w:after="0"/>
      <w:jc w:val="start"/>
      <w:outlineLvl w:val="0"/>
    </w:pPr>
    <w:rPr>
      <w:rFonts w:ascii="Cambria" w:hAnsi="Cambria" w:cs="Cambria"/>
      <w:b/>
      <w:bCs/>
      <w:color w:val="365F91"/>
      <w:kern w:val="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4" w:before="280" w:after="290"/>
      <w:outlineLvl w:val="3"/>
    </w:pPr>
    <w:rPr>
      <w:rFonts w:ascii="Cambria" w:hAnsi="Cambria" w:cs="Cambria"/>
      <w:b/>
      <w:bCs/>
      <w:kern w:val="0"/>
      <w:sz w:val="28"/>
      <w:szCs w:val="28"/>
    </w:rPr>
  </w:style>
  <w:style w:type="character" w:styleId="Style12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1">
    <w:name w:val="标题 1 字符"/>
    <w:qFormat/>
    <w:rPr>
      <w:rFonts w:ascii="Cambria" w:hAnsi="Cambria" w:eastAsia="Arial Unicode MS" w:cs="Times New Roman"/>
      <w:b/>
      <w:bCs/>
      <w:color w:val="365F91"/>
      <w:kern w:val="0"/>
      <w:sz w:val="28"/>
      <w:szCs w:val="28"/>
    </w:rPr>
  </w:style>
  <w:style w:type="character" w:styleId="Style13">
    <w:name w:val="标题 字符"/>
    <w:qFormat/>
    <w:rPr>
      <w:rFonts w:ascii="Arial Unicode MS" w:hAnsi="Arial Unicode MS" w:eastAsia="Arial Unicode MS" w:cs="Times New Roman"/>
      <w:b/>
      <w:kern w:val="0"/>
      <w:sz w:val="36"/>
      <w:szCs w:val="20"/>
    </w:rPr>
  </w:style>
  <w:style w:type="character" w:styleId="Style14">
    <w:name w:val="日期 字符"/>
    <w:basedOn w:val="Style12"/>
    <w:qFormat/>
    <w:rPr/>
  </w:style>
  <w:style w:type="character" w:styleId="Style15">
    <w:name w:val="页眉 字符"/>
    <w:qFormat/>
    <w:rPr>
      <w:sz w:val="18"/>
      <w:szCs w:val="18"/>
    </w:rPr>
  </w:style>
  <w:style w:type="character" w:styleId="Style16">
    <w:name w:val="页脚 字符"/>
    <w:qFormat/>
    <w:rPr>
      <w:sz w:val="18"/>
      <w:szCs w:val="18"/>
    </w:rPr>
  </w:style>
  <w:style w:type="character" w:styleId="Style17">
    <w:name w:val="文档结构图 字符"/>
    <w:qFormat/>
    <w:rPr>
      <w:rFonts w:ascii="Arial Unicode MS" w:hAnsi="Arial Unicode MS" w:eastAsia="Arial Unicode MS"/>
      <w:sz w:val="18"/>
      <w:szCs w:val="18"/>
    </w:rPr>
  </w:style>
  <w:style w:type="character" w:styleId="4">
    <w:name w:val="标题 4 字符"/>
    <w:qFormat/>
    <w:rPr>
      <w:rFonts w:ascii="Cambria" w:hAnsi="Cambria" w:eastAsia="Arial Unicode MS" w:cs="Times New Roman"/>
      <w:b/>
      <w:bCs/>
      <w:sz w:val="28"/>
      <w:szCs w:val="28"/>
    </w:rPr>
  </w:style>
  <w:style w:type="character" w:styleId="Style18">
    <w:name w:val="批注框文本 字符"/>
    <w:qFormat/>
    <w:rPr>
      <w:sz w:val="18"/>
      <w:szCs w:val="18"/>
    </w:rPr>
  </w:style>
  <w:style w:type="paragraph" w:styleId="Heading">
    <w:name w:val="Heading"/>
    <w:basedOn w:val="Normal"/>
    <w:next w:val="Normal"/>
    <w:qFormat/>
    <w:pPr>
      <w:jc w:val="center"/>
    </w:pPr>
    <w:rPr>
      <w:rFonts w:ascii="Arial Unicode MS" w:hAnsi="Arial Unicode MS" w:cs="Times New Roman"/>
      <w:b/>
      <w:kern w:val="0"/>
      <w:sz w:val="36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OC6">
    <w:name w:val="toc 6"/>
    <w:basedOn w:val="Normal"/>
    <w:next w:val="Normal"/>
    <w:pPr>
      <w:ind w:firstLineChars="0" w:firstLine="0" w:startChars="1000" w:endChars="0" w:end="0"/>
    </w:pPr>
    <w:rPr/>
  </w:style>
  <w:style w:type="paragraph" w:styleId="TOC1">
    <w:name w:val="toc 1"/>
    <w:basedOn w:val="Normal"/>
    <w:next w:val="Normal"/>
    <w:pPr>
      <w:widowControl/>
      <w:spacing w:lineRule="auto" w:line="276" w:before="0" w:after="100"/>
      <w:jc w:val="start"/>
    </w:pPr>
    <w:rPr>
      <w:kern w:val="0"/>
      <w:sz w:val="22"/>
    </w:rPr>
  </w:style>
  <w:style w:type="paragraph" w:styleId="Style19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TOC2">
    <w:name w:val="toc 2"/>
    <w:basedOn w:val="Normal"/>
    <w:next w:val="Normal"/>
    <w:pPr>
      <w:widowControl/>
      <w:spacing w:lineRule="auto" w:line="276" w:before="0" w:after="100"/>
      <w:ind w:hanging="0" w:start="220" w:end="0"/>
      <w:jc w:val="start"/>
    </w:pPr>
    <w:rPr>
      <w:kern w:val="0"/>
      <w:sz w:val="22"/>
    </w:rPr>
  </w:style>
  <w:style w:type="paragraph" w:styleId="TOC7">
    <w:name w:val="toc 7"/>
    <w:basedOn w:val="Normal"/>
    <w:next w:val="Normal"/>
    <w:pPr>
      <w:ind w:firstLineChars="0" w:firstLine="0" w:startChars="1200" w:endChars="0" w:end="0"/>
    </w:pPr>
    <w:rPr/>
  </w:style>
  <w:style w:type="paragraph" w:styleId="TOC5">
    <w:name w:val="toc 5"/>
    <w:basedOn w:val="Normal"/>
    <w:next w:val="Normal"/>
    <w:pPr>
      <w:ind w:firstLineChars="0" w:firstLine="0" w:startChars="800" w:endChars="0" w:end="0"/>
    </w:pPr>
    <w:rPr/>
  </w:style>
  <w:style w:type="paragraph" w:styleId="TOC8">
    <w:name w:val="toc 8"/>
    <w:basedOn w:val="Normal"/>
    <w:next w:val="Normal"/>
    <w:pPr>
      <w:ind w:firstLineChars="0" w:firstLine="0" w:startChars="1400" w:endChars="0" w:end="0"/>
    </w:pPr>
    <w:rPr/>
  </w:style>
  <w:style w:type="paragraph" w:styleId="TOC9">
    <w:name w:val="toc 9"/>
    <w:basedOn w:val="Normal"/>
    <w:next w:val="Normal"/>
    <w:pPr>
      <w:ind w:firstLineChars="0" w:firstLine="0" w:startChars="1600" w:endChars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kern w:val="0"/>
      <w:sz w:val="18"/>
      <w:szCs w:val="18"/>
    </w:rPr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20">
    <w:name w:val="普通(网站)"/>
    <w:basedOn w:val="Normal"/>
    <w:qFormat/>
    <w:pPr>
      <w:widowControl/>
      <w:spacing w:before="280" w:after="280"/>
      <w:jc w:val="start"/>
    </w:pPr>
    <w:rPr>
      <w:rFonts w:ascii="Arial Unicode MS" w:hAnsi="Arial Unicode MS" w:eastAsia="Arial Unicode MS" w:cs="Arial Unicode MS"/>
      <w:kern w:val="0"/>
      <w:sz w:val="24"/>
      <w:szCs w:val="24"/>
    </w:rPr>
  </w:style>
  <w:style w:type="paragraph" w:styleId="Style21">
    <w:name w:val="批注框文本"/>
    <w:basedOn w:val="Normal"/>
    <w:qFormat/>
    <w:pPr/>
    <w:rPr>
      <w:kern w:val="0"/>
      <w:sz w:val="18"/>
      <w:szCs w:val="18"/>
    </w:rPr>
  </w:style>
  <w:style w:type="paragraph" w:styleId="Style22">
    <w:name w:val="文档结构图"/>
    <w:basedOn w:val="Normal"/>
    <w:qFormat/>
    <w:pPr/>
    <w:rPr>
      <w:rFonts w:ascii="Arial Unicode MS" w:hAnsi="Arial Unicode MS"/>
      <w:kern w:val="0"/>
      <w:sz w:val="18"/>
      <w:szCs w:val="18"/>
    </w:rPr>
  </w:style>
  <w:style w:type="paragraph" w:styleId="TOC4">
    <w:name w:val="toc 4"/>
    <w:basedOn w:val="Normal"/>
    <w:next w:val="Normal"/>
    <w:pPr>
      <w:ind w:firstLineChars="0" w:firstLine="0" w:startChars="600" w:endChars="0" w:end="0"/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0"/>
      <w:sz w:val="18"/>
      <w:szCs w:val="18"/>
    </w:rPr>
  </w:style>
  <w:style w:type="paragraph" w:styleId="Style23">
    <w:name w:val="列表段落"/>
    <w:basedOn w:val="Normal"/>
    <w:qFormat/>
    <w:pPr>
      <w:ind w:firstLineChars="200" w:startChars="0" w:start="0" w:endChars="0" w:end="0"/>
    </w:pPr>
    <w:rPr/>
  </w:style>
  <w:style w:type="paragraph" w:styleId="TOC">
    <w:name w:val="TOC 标题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Tabletext">
    <w:name w:val="Tabletext"/>
    <w:basedOn w:val="Normal"/>
    <w:qFormat/>
    <w:pPr>
      <w:keepLines/>
      <w:spacing w:lineRule="atLeast" w:line="240" w:before="0" w:after="120"/>
      <w:jc w:val="start"/>
    </w:pPr>
    <w:rPr>
      <w:rFonts w:ascii="Arial Unicode MS" w:hAnsi="Arial Unicode MS" w:eastAsia="Arial Unicode MS" w:cs="Times New Roman"/>
      <w:kern w:val="0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2010-10-12T11:11:00Z</dcterms:created>
  <dc:creator>eduask1</dc:creator>
  <dc:description/>
  <cp:keywords/>
  <dc:language>zh-CN</dc:language>
  <cp:lastModifiedBy>Administrator</cp:lastModifiedBy>
  <cp:lastPrinted>2009-03-03T16:24:00Z</cp:lastPrinted>
  <dcterms:modified xsi:type="dcterms:W3CDTF">2023-06-27T15:02:00Z</dcterms:modified>
  <cp:revision>3</cp:revision>
  <dc:subject/>
  <dc:title>标准化培训作业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2052-11.1.0.8013</vt:lpwstr>
  </property>
</Properties>
</file>