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jc w:val="center"/>
      </w:pPr>
      <w:r>
        <w:rPr>
          <w:rFonts w:ascii="宋体" w:hAnsi="宋体" w:eastAsia="宋体" w:cs="宋体"/>
          <w:b/>
          <w:color w:val="000000"/>
          <w:sz w:val="32"/>
        </w:rPr>
        <w:t>转盘滤池、消毒计量及回用水单元工艺设计说明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1、图中尺寸除标高以米计外，其余均以毫米计。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2、图中标注坐标为绝对坐标，坐标系为2000国家大地坐标系，与厂区总平面布置图一致，以池内壁定位。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3、图中标高采用绝对标高，高程系采用1985国家高程基准；管道设计标高除注明外均为管中心高程。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4、加氯接触池设计规模Q=2万m³/d，接触时间38min。回用水池设计规模Q=1万m³/d。回用水泵房设计规模Q=2万m³/d，回用水泵房设置3台加压泵，2用1备。水泵为半自灌式启动，采用真空引水装置启动。转盘滤池设计规模Q=2万m³/d，配10台直径3米转盘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5、管材与连接：管材采用焊接钢管，除注明和必须采用法兰连接外，管道采用焊接连接。工程量统计：进出水管道统计至三通处；放空管统计至厂区检查井。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6、图中管道及管件长度均为理论长度，下料时应根据有关规定扣除焊缝尺寸及密封片厚。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7、防腐：焊接钢管应优先采用成品防腐钢管，非成品防腐钢管人工除锈要求达到St3等级，喷射或抛射除锈质量标准应达到Sa2.5级。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外防腐：明装钢管外防腐采用环氧铁红底漆一道，环氧云铁中层漆一道，面漆采用环氧彩漆一道（室内）或氯化橡胶漆两道（室外），干膜厚度应≥0.16mm。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埋地钢管外壁防腐应根据土壤腐蚀性采用相应环氧煤沥青防腐层，具体做法详见《给水排水管道工程施工及验收规范》（GB50268-2008）。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浸入水中的钢制管道、管件、支架的外防腐：采用厚浆型环氧煤沥青涂料，底漆一道，面漆三道，干膜厚度应≥0.30mm。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内防腐：钢制管道内防腐采用液体环氧涂料内防腐层，普通级防腐干膜厚度≥0.20mm，加强级防腐干膜厚度≥0.30mm，特加强级防腐干膜厚度≥0.45mm。（注：液体环氧涂料包括溶剂型和无溶剂型）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焊口防腐：应与钢管焊接密切配合，焊口在焊接完毕后应立即补充处理内外防腐，方法同钢管内外防腐。焊口应进行超声波探伤。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管道涂色参见CJ/T158-2002《城市污水处理厂管道和设备色标》。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8、凡埋深不足1.0米及地上管道均应保温。采用硬质聚氨脂防结露保温做法，详见国标03S401。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9、连接法兰及密封：钢管连接法兰均采用P=1.0MPa钢制法兰。详见国标02S403-79。法兰连接处均采用3mm石棉橡胶垫片密封。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10、管道在须支撑的地方设支墩。支墩采用M10水泥砂浆砌MU15砼砌块，1:2防水水泥砂浆抹面，厚20mm；三通混凝土支墩采用C35混凝土，做法详见国标10S505-13、57。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11、钢制管件、防水套管等均采用《全国通用给水排水标准图》，具体采用的标准图集均详见图纸中的设备材料表及工程量表。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12、栏杆暂选用02（03）J401的LG1-10，型式及材料可由甲方自定。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13、施工前，应将工艺图纸与结构图纸对照，无误后方可施工。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14、由于设备尚未招标，故预埋件及预留孔洞仅供参考；待设备招标后，并重新核实预埋件及预留孔洞大小，无误后方可施工。所有设备安装需在设备厂家技术人员指导下进行。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15、除设计注明外，钢制管道及其管件的施工、焊接均按《现场设备、工业管道焊接工程施工规范》（GB50236-2011）、《工业金属管道工程施工规范》（GB50235-2010）执行，管道验收按《工业金属管道工程施工质量验收规范》（GB50184-2011）、《现场设备、工业管道焊接工程施工质量验收规范》（GB50683-2011）执行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16、灭火器配置：根据《建筑灭火器配置设计规范》规定，回用水泵房按轻度危险等级A类配置灭火器，设4具1A灭火器，配电室及在线仪表间按中度危险等级E类配置灭火器，设4具2E灭火器。转盘滤池按轻度危险等级A类配置灭火器，设2具1A灭火器。灭火器放置在灭火器箱里，每座灭火器箱设灭火器2具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