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宋体" w:hAnsi="宋体" w:eastAsia="宋体" w:cs="宋体"/>
          <w:b/>
          <w:color w:val="000000"/>
          <w:sz w:val="32"/>
        </w:rPr>
        <w:t>电气设计总说明</w:t>
      </w:r>
    </w:p>
    <w:p>
      <w:pPr>
        <w:spacing w:before="160" w:after="80" w:line="360" w:lineRule="auto"/>
      </w:pPr>
      <w:r>
        <w:rPr>
          <w:rFonts w:ascii="宋体" w:hAnsi="宋体" w:eastAsia="宋体" w:cs="宋体"/>
          <w:b/>
          <w:color w:val="000000"/>
          <w:sz w:val="24"/>
        </w:rPr>
        <w:t>一、设计范围</w:t>
      </w:r>
    </w:p>
    <w:p>
      <w:pPr>
        <w:spacing w:line="360" w:lineRule="auto" w:after="0"/>
        <w:ind w:firstLine="480"/>
        <w:jc w:val="both"/>
      </w:pPr>
      <w:r>
        <w:rPr>
          <w:rFonts w:ascii="宋体" w:hAnsi="宋体" w:eastAsia="宋体" w:cs="宋体"/>
          <w:b w:val="0"/>
          <w:color w:val="000000"/>
          <w:sz w:val="24"/>
        </w:rPr>
        <w:t>济南起步区绿色循环产业园配套基础设施项目一期工程再生水制备一厂，处理规模8万吨/天，污水处理工艺主要采用调节事故池及提升泵房+除硬高密度沉淀池+臭氧预氧化+除氟高密度沉淀池+AOAO反应池+沉淀池+二级处理提升泵房+粉末活性炭吸附池+磁混凝沉淀池+V型滤池+臭氧催化氧化池+膜浓缩工艺，主要设计内容为污水厂内各建构筑物的动力、配电、照明、防雷、接地等设计。</w:t>
      </w:r>
    </w:p>
    <w:p>
      <w:pPr>
        <w:spacing w:before="160" w:after="80" w:line="360" w:lineRule="auto"/>
      </w:pPr>
      <w:r>
        <w:rPr>
          <w:rFonts w:ascii="宋体" w:hAnsi="宋体" w:eastAsia="宋体" w:cs="宋体"/>
          <w:b/>
          <w:color w:val="000000"/>
          <w:sz w:val="24"/>
        </w:rPr>
        <w:t>二、执行标准</w:t>
      </w:r>
    </w:p>
    <w:p>
      <w:pPr>
        <w:spacing w:line="360" w:lineRule="auto" w:after="0"/>
        <w:ind w:firstLine="480"/>
        <w:jc w:val="both"/>
      </w:pPr>
      <w:r>
        <w:rPr>
          <w:rFonts w:ascii="宋体" w:hAnsi="宋体" w:eastAsia="宋体" w:cs="宋体"/>
          <w:b w:val="0"/>
          <w:color w:val="000000"/>
          <w:sz w:val="24"/>
        </w:rPr>
        <w:t>（1）《供配电系统设计规范》GB50052-2009</w:t>
      </w:r>
    </w:p>
    <w:p>
      <w:pPr>
        <w:spacing w:line="360" w:lineRule="auto" w:after="0"/>
        <w:ind w:firstLine="480"/>
        <w:jc w:val="both"/>
      </w:pPr>
      <w:r>
        <w:rPr>
          <w:rFonts w:ascii="宋体" w:hAnsi="宋体" w:eastAsia="宋体" w:cs="宋体"/>
          <w:b w:val="0"/>
          <w:color w:val="000000"/>
          <w:sz w:val="24"/>
        </w:rPr>
        <w:t>（2）《20kV及以下变电所设计规范》GB50053-2013</w:t>
      </w:r>
    </w:p>
    <w:p>
      <w:pPr>
        <w:spacing w:line="360" w:lineRule="auto" w:after="0"/>
        <w:ind w:firstLine="480"/>
        <w:jc w:val="both"/>
      </w:pPr>
      <w:r>
        <w:rPr>
          <w:rFonts w:ascii="宋体" w:hAnsi="宋体" w:eastAsia="宋体" w:cs="宋体"/>
          <w:b w:val="0"/>
          <w:color w:val="000000"/>
          <w:sz w:val="24"/>
        </w:rPr>
        <w:t>（3）《低压配电设计规范》GB50054-2011</w:t>
      </w:r>
    </w:p>
    <w:p>
      <w:pPr>
        <w:spacing w:line="360" w:lineRule="auto" w:after="0"/>
        <w:ind w:firstLine="480"/>
        <w:jc w:val="both"/>
      </w:pPr>
      <w:r>
        <w:rPr>
          <w:rFonts w:ascii="宋体" w:hAnsi="宋体" w:eastAsia="宋体" w:cs="宋体"/>
          <w:b w:val="0"/>
          <w:color w:val="000000"/>
          <w:sz w:val="24"/>
        </w:rPr>
        <w:t>（4）《通用用电设备配电设计规范》GB50055-2011</w:t>
      </w:r>
    </w:p>
    <w:p>
      <w:pPr>
        <w:spacing w:line="360" w:lineRule="auto" w:after="0"/>
        <w:ind w:firstLine="480"/>
        <w:jc w:val="both"/>
      </w:pPr>
      <w:r>
        <w:rPr>
          <w:rFonts w:ascii="宋体" w:hAnsi="宋体" w:eastAsia="宋体" w:cs="宋体"/>
          <w:b w:val="0"/>
          <w:color w:val="000000"/>
          <w:sz w:val="24"/>
        </w:rPr>
        <w:t>（5）《电力装置的继电保护和自动装置设计规范》GB/T50062-2008</w:t>
      </w:r>
    </w:p>
    <w:p>
      <w:pPr>
        <w:spacing w:line="360" w:lineRule="auto" w:after="0"/>
        <w:ind w:firstLine="480"/>
        <w:jc w:val="both"/>
      </w:pPr>
      <w:r>
        <w:rPr>
          <w:rFonts w:ascii="宋体" w:hAnsi="宋体" w:eastAsia="宋体" w:cs="宋体"/>
          <w:b w:val="0"/>
          <w:color w:val="000000"/>
          <w:sz w:val="24"/>
        </w:rPr>
        <w:t>（6）《电力工程电缆设计标准》GB50217-2018</w:t>
      </w:r>
    </w:p>
    <w:p>
      <w:pPr>
        <w:spacing w:line="360" w:lineRule="auto" w:after="0"/>
        <w:ind w:firstLine="480"/>
        <w:jc w:val="both"/>
      </w:pPr>
      <w:r>
        <w:rPr>
          <w:rFonts w:ascii="宋体" w:hAnsi="宋体" w:eastAsia="宋体" w:cs="宋体"/>
          <w:b w:val="0"/>
          <w:color w:val="000000"/>
          <w:sz w:val="24"/>
        </w:rPr>
        <w:t>（7）《建筑物防雷设计规范》GB50057-2010</w:t>
      </w:r>
    </w:p>
    <w:p>
      <w:pPr>
        <w:spacing w:line="360" w:lineRule="auto" w:after="0"/>
        <w:ind w:firstLine="480"/>
        <w:jc w:val="both"/>
      </w:pPr>
      <w:r>
        <w:rPr>
          <w:rFonts w:ascii="宋体" w:hAnsi="宋体" w:eastAsia="宋体" w:cs="宋体"/>
          <w:b w:val="0"/>
          <w:color w:val="000000"/>
          <w:sz w:val="24"/>
        </w:rPr>
        <w:t>（8）《交流电气装置的接地设计规范》GB/T50065-2011</w:t>
      </w:r>
    </w:p>
    <w:p>
      <w:pPr>
        <w:spacing w:line="360" w:lineRule="auto" w:after="0"/>
        <w:ind w:firstLine="480"/>
        <w:jc w:val="both"/>
      </w:pPr>
      <w:r>
        <w:rPr>
          <w:rFonts w:ascii="宋体" w:hAnsi="宋体" w:eastAsia="宋体" w:cs="宋体"/>
          <w:b w:val="0"/>
          <w:color w:val="000000"/>
          <w:sz w:val="24"/>
        </w:rPr>
        <w:t>（9）《建筑照明设计标准》GB50034-2013</w:t>
      </w:r>
    </w:p>
    <w:p>
      <w:pPr>
        <w:spacing w:line="360" w:lineRule="auto" w:after="0"/>
        <w:ind w:firstLine="480"/>
        <w:jc w:val="both"/>
      </w:pPr>
      <w:r>
        <w:rPr>
          <w:rFonts w:ascii="宋体" w:hAnsi="宋体" w:eastAsia="宋体" w:cs="宋体"/>
          <w:b w:val="0"/>
          <w:color w:val="000000"/>
          <w:sz w:val="24"/>
        </w:rPr>
        <w:t>（10）《城市道路照明设计标准》CJJ45-2015</w:t>
      </w:r>
    </w:p>
    <w:p>
      <w:pPr>
        <w:spacing w:line="360" w:lineRule="auto" w:after="0"/>
        <w:ind w:firstLine="480"/>
        <w:jc w:val="both"/>
      </w:pPr>
      <w:r>
        <w:rPr>
          <w:rFonts w:ascii="宋体" w:hAnsi="宋体" w:eastAsia="宋体" w:cs="宋体"/>
          <w:b w:val="0"/>
          <w:color w:val="000000"/>
          <w:sz w:val="24"/>
        </w:rPr>
        <w:t>（11）《建筑机电工程抗震设计规范》GB50981-2014</w:t>
      </w:r>
    </w:p>
    <w:p>
      <w:pPr>
        <w:spacing w:line="360" w:lineRule="auto" w:after="0"/>
        <w:ind w:firstLine="480"/>
        <w:jc w:val="both"/>
      </w:pPr>
      <w:r>
        <w:rPr>
          <w:rFonts w:ascii="宋体" w:hAnsi="宋体" w:eastAsia="宋体" w:cs="宋体"/>
          <w:b w:val="0"/>
          <w:color w:val="000000"/>
          <w:sz w:val="24"/>
        </w:rPr>
        <w:t>（12）《建筑电气与智能化通用规范》GB55024-2022</w:t>
      </w:r>
    </w:p>
    <w:p>
      <w:pPr>
        <w:spacing w:line="360" w:lineRule="auto" w:after="0"/>
        <w:ind w:firstLine="480"/>
        <w:jc w:val="both"/>
      </w:pPr>
      <w:r>
        <w:rPr>
          <w:rFonts w:ascii="宋体" w:hAnsi="宋体" w:eastAsia="宋体" w:cs="宋体"/>
          <w:b w:val="0"/>
          <w:color w:val="000000"/>
          <w:sz w:val="24"/>
        </w:rPr>
        <w:t>（13）《建筑节能与可再生能源利用通用规范》GB55015-2021</w:t>
      </w:r>
    </w:p>
    <w:p>
      <w:pPr>
        <w:spacing w:line="360" w:lineRule="auto" w:after="0"/>
        <w:ind w:firstLine="480"/>
        <w:jc w:val="both"/>
      </w:pPr>
      <w:r>
        <w:rPr>
          <w:rFonts w:ascii="宋体" w:hAnsi="宋体" w:eastAsia="宋体" w:cs="宋体"/>
          <w:b w:val="0"/>
          <w:color w:val="000000"/>
          <w:sz w:val="24"/>
        </w:rPr>
        <w:t>（14）《爆炸危险环境电力装置设计规范》GB50058-2014</w:t>
      </w:r>
    </w:p>
    <w:p>
      <w:pPr>
        <w:spacing w:line="360" w:lineRule="auto" w:after="0"/>
        <w:ind w:firstLine="480"/>
        <w:jc w:val="both"/>
      </w:pPr>
      <w:r>
        <w:rPr>
          <w:rFonts w:ascii="宋体" w:hAnsi="宋体" w:eastAsia="宋体" w:cs="宋体"/>
          <w:b w:val="0"/>
          <w:color w:val="000000"/>
          <w:sz w:val="24"/>
        </w:rPr>
        <w:t>（15）《建筑设计防火规范》（2018年版）GB50016-2014</w:t>
      </w:r>
    </w:p>
    <w:p>
      <w:pPr>
        <w:spacing w:line="360" w:lineRule="auto" w:after="0"/>
        <w:ind w:firstLine="480"/>
        <w:jc w:val="both"/>
      </w:pPr>
      <w:r>
        <w:rPr>
          <w:rFonts w:ascii="宋体" w:hAnsi="宋体" w:eastAsia="宋体" w:cs="宋体"/>
          <w:b w:val="0"/>
          <w:color w:val="000000"/>
          <w:sz w:val="24"/>
        </w:rPr>
        <w:t>（16）《城市给水工程项目规范》GB55026-2022</w:t>
      </w:r>
    </w:p>
    <w:p>
      <w:pPr>
        <w:spacing w:line="360" w:lineRule="auto" w:after="0"/>
        <w:ind w:firstLine="480"/>
        <w:jc w:val="both"/>
      </w:pPr>
      <w:r>
        <w:rPr>
          <w:rFonts w:ascii="宋体" w:hAnsi="宋体" w:eastAsia="宋体" w:cs="宋体"/>
          <w:b w:val="0"/>
          <w:color w:val="000000"/>
          <w:sz w:val="24"/>
        </w:rPr>
        <w:t>（17）《绿色建筑设计标准》DB37/T5043-2021</w:t>
      </w:r>
    </w:p>
    <w:p>
      <w:pPr>
        <w:spacing w:line="360" w:lineRule="auto" w:after="0"/>
        <w:ind w:firstLine="480"/>
        <w:jc w:val="both"/>
      </w:pPr>
      <w:r>
        <w:rPr>
          <w:rFonts w:ascii="宋体" w:hAnsi="宋体" w:eastAsia="宋体" w:cs="宋体"/>
          <w:b w:val="0"/>
          <w:color w:val="000000"/>
          <w:sz w:val="24"/>
        </w:rPr>
        <w:t>（18）《绿色建筑评价标准》DB37/T5097-2021</w:t>
      </w:r>
    </w:p>
    <w:p>
      <w:pPr>
        <w:spacing w:line="360" w:lineRule="auto" w:after="0"/>
        <w:ind w:firstLine="480"/>
        <w:jc w:val="both"/>
      </w:pPr>
      <w:r>
        <w:rPr>
          <w:rFonts w:ascii="宋体" w:hAnsi="宋体" w:eastAsia="宋体" w:cs="宋体"/>
          <w:b w:val="0"/>
          <w:color w:val="000000"/>
          <w:sz w:val="24"/>
        </w:rPr>
        <w:t>（19）工艺专业提供的资料、参数、总图及与本工程相关的其它设计规范及甲方提供的相关资料。</w:t>
      </w:r>
    </w:p>
    <w:p>
      <w:pPr>
        <w:spacing w:before="160" w:after="80" w:line="360" w:lineRule="auto"/>
      </w:pPr>
      <w:r>
        <w:rPr>
          <w:rFonts w:ascii="宋体" w:hAnsi="宋体" w:eastAsia="宋体" w:cs="宋体"/>
          <w:b/>
          <w:color w:val="000000"/>
          <w:sz w:val="24"/>
        </w:rPr>
        <w:t>三、供电设计</w:t>
      </w:r>
    </w:p>
    <w:p>
      <w:pPr>
        <w:spacing w:line="360" w:lineRule="auto" w:after="0"/>
        <w:ind w:firstLine="480"/>
        <w:jc w:val="both"/>
      </w:pPr>
      <w:r>
        <w:rPr>
          <w:rFonts w:ascii="宋体" w:hAnsi="宋体" w:eastAsia="宋体" w:cs="宋体"/>
          <w:b w:val="0"/>
          <w:color w:val="000000"/>
          <w:sz w:val="24"/>
        </w:rPr>
        <w:t>本工程按照二级负荷设计。采用两路10kV电源供电。本工程总运行负荷为20059kW，计算有功功率为15905kW。根据厂区负荷分布情况，厂区设置三个主变配电室，由厂区外变电站引入六路10kV电源，10kV电源采用电缆埋地的敷设方式引入变配电室10kV高压柜。</w:t>
      </w:r>
    </w:p>
    <w:p>
      <w:pPr>
        <w:spacing w:line="360" w:lineRule="auto" w:after="0"/>
        <w:ind w:firstLine="480"/>
        <w:jc w:val="both"/>
      </w:pPr>
      <w:r>
        <w:rPr>
          <w:rFonts w:ascii="宋体" w:hAnsi="宋体" w:eastAsia="宋体" w:cs="宋体"/>
          <w:b w:val="0"/>
          <w:color w:val="000000"/>
          <w:sz w:val="24"/>
        </w:rPr>
        <w:t>1）在厂区内的负荷中心与再生水泵房合建1座10kV/0.4kV变配电室，作为除膜浓缩、蒸发结晶外全厂的供配电中心。</w:t>
      </w:r>
    </w:p>
    <w:p>
      <w:pPr>
        <w:spacing w:line="360" w:lineRule="auto" w:after="0"/>
        <w:ind w:firstLine="480"/>
        <w:jc w:val="both"/>
      </w:pPr>
      <w:r>
        <w:rPr>
          <w:rFonts w:ascii="宋体" w:hAnsi="宋体" w:eastAsia="宋体" w:cs="宋体"/>
          <w:b w:val="0"/>
          <w:color w:val="000000"/>
          <w:sz w:val="24"/>
        </w:rPr>
        <w:t>除膜浓缩蒸发结晶外总运行负荷为7183kW，计算有功功率为5206kW。再生水泵房变配电室总运行负荷为2842kW，计算有功功率为2142kW，其中二级负荷1862kW，三级负荷280kW，补偿后视在功率为2290kVA，内设两台2000kVA干式变压器，两台变压器分列运行，互为备用，负荷率约为57%。任意一台变压器断开时，另外一台变压器满足全部二级负荷的用电。</w:t>
      </w:r>
    </w:p>
    <w:p>
      <w:pPr>
        <w:spacing w:line="360" w:lineRule="auto" w:after="0"/>
        <w:ind w:firstLine="480"/>
        <w:jc w:val="both"/>
      </w:pPr>
      <w:r>
        <w:rPr>
          <w:rFonts w:ascii="宋体" w:hAnsi="宋体" w:eastAsia="宋体" w:cs="宋体"/>
          <w:b w:val="0"/>
          <w:color w:val="000000"/>
          <w:sz w:val="24"/>
        </w:rPr>
        <w:t>脱水机房分配电室总运行负荷为2642kW，计算有功功率为1867kW，其中二级负荷1432kW，三级负荷435kW，补偿后视在功率为1996kVA，内设两台1600kVA干式变压器，两台变压器分列运行，互为备用，负荷率约为62%。任意一台变压器断开时，另外一台变压器满足全部二级负荷的用电。</w:t>
      </w:r>
    </w:p>
    <w:p>
      <w:pPr>
        <w:spacing w:line="360" w:lineRule="auto" w:after="0"/>
        <w:ind w:firstLine="480"/>
        <w:jc w:val="both"/>
      </w:pPr>
      <w:r>
        <w:rPr>
          <w:rFonts w:ascii="宋体" w:hAnsi="宋体" w:eastAsia="宋体" w:cs="宋体"/>
          <w:b w:val="0"/>
          <w:color w:val="000000"/>
          <w:sz w:val="24"/>
        </w:rPr>
        <w:t>臭氧发生间分配电室内设两台2000kVA干式变压器，两台变压器一用一备，联络柜合闸运行，负荷率约为64%。</w:t>
      </w:r>
    </w:p>
    <w:p>
      <w:pPr>
        <w:spacing w:line="360" w:lineRule="auto" w:after="0"/>
        <w:ind w:firstLine="480"/>
        <w:jc w:val="both"/>
      </w:pPr>
      <w:r>
        <w:rPr>
          <w:rFonts w:ascii="宋体" w:hAnsi="宋体" w:eastAsia="宋体" w:cs="宋体"/>
          <w:b w:val="0"/>
          <w:color w:val="000000"/>
          <w:sz w:val="24"/>
        </w:rPr>
        <w:t>补偿方式采用低压动态集中补偿，补偿后功率因数可达到0.95以上。</w:t>
      </w:r>
    </w:p>
    <w:p>
      <w:pPr>
        <w:spacing w:line="360" w:lineRule="auto" w:after="0"/>
        <w:ind w:firstLine="480"/>
        <w:jc w:val="both"/>
      </w:pPr>
      <w:r>
        <w:rPr>
          <w:rFonts w:ascii="宋体" w:hAnsi="宋体" w:eastAsia="宋体" w:cs="宋体"/>
          <w:b w:val="0"/>
          <w:color w:val="000000"/>
          <w:sz w:val="24"/>
        </w:rPr>
        <w:t>2）与膜浓缩车间合建1座10kV/0.4kV变配电室，作为膜浓缩车间的供配电中心。</w:t>
      </w:r>
    </w:p>
    <w:p>
      <w:pPr>
        <w:spacing w:line="360" w:lineRule="auto" w:after="0"/>
        <w:ind w:firstLine="480"/>
        <w:jc w:val="both"/>
      </w:pPr>
      <w:r>
        <w:rPr>
          <w:rFonts w:ascii="宋体" w:hAnsi="宋体" w:eastAsia="宋体" w:cs="宋体"/>
          <w:b w:val="0"/>
          <w:color w:val="000000"/>
          <w:sz w:val="24"/>
        </w:rPr>
        <w:t>膜浓缩变配电室内总运行负荷为15021kW，计算有功功率为11300kW，补偿后视在功率为12078kVA，内设六台2500kVA干式变压器，两两变压器分列运行，互为备用，负荷率约为80%。</w:t>
      </w:r>
    </w:p>
    <w:p>
      <w:pPr>
        <w:spacing w:line="360" w:lineRule="auto" w:after="0"/>
        <w:ind w:firstLine="480"/>
        <w:jc w:val="both"/>
      </w:pPr>
      <w:r>
        <w:rPr>
          <w:rFonts w:ascii="宋体" w:hAnsi="宋体" w:eastAsia="宋体" w:cs="宋体"/>
          <w:b w:val="0"/>
          <w:color w:val="000000"/>
          <w:sz w:val="24"/>
        </w:rPr>
        <w:t>膜浓缩脱水机房变配电室内总运行负荷为1257kW，计算有功功率为828kW，其中二级负荷705kW，三级负荷180kW，补偿后视在功率为885kVA，设两台800kVA干式变压器，两台变压器分列运行，互为备用，负荷率约为55%。任意一台变压器断开时，另外一台变压器满足全部二级负荷的用电。</w:t>
      </w:r>
    </w:p>
    <w:p>
      <w:pPr>
        <w:spacing w:line="360" w:lineRule="auto" w:after="0"/>
        <w:ind w:firstLine="480"/>
        <w:jc w:val="both"/>
      </w:pPr>
      <w:r>
        <w:rPr>
          <w:rFonts w:ascii="宋体" w:hAnsi="宋体" w:eastAsia="宋体" w:cs="宋体"/>
          <w:b w:val="0"/>
          <w:color w:val="000000"/>
          <w:sz w:val="24"/>
        </w:rPr>
        <w:t>补偿方式采用低压动态集中补偿，补偿后功率因数可达到0.95以上。</w:t>
      </w:r>
    </w:p>
    <w:p>
      <w:pPr>
        <w:spacing w:line="360" w:lineRule="auto" w:after="0"/>
        <w:ind w:firstLine="480"/>
        <w:jc w:val="both"/>
      </w:pPr>
      <w:r>
        <w:rPr>
          <w:rFonts w:ascii="宋体" w:hAnsi="宋体" w:eastAsia="宋体" w:cs="宋体"/>
          <w:b w:val="0"/>
          <w:color w:val="000000"/>
          <w:sz w:val="24"/>
        </w:rPr>
        <w:t>3）蒸发结晶车间总运行负荷为8275kW，计算有功功率为7521kW（包括8台450kW高压变频压缩机、4台400kW高压变频压缩机），低压总运行负荷为3075kW，计算有功功率为2321kW，补偿后视在功率为2481kVA，蒸发结晶变配电室内设两台2500kVA干式变压器，变压器分列运行，互为备用，负荷率约为50%。任意一台变压器断开时，另外一台变压器满足全部二级负荷的用电。</w:t>
      </w:r>
    </w:p>
    <w:p>
      <w:pPr>
        <w:spacing w:line="360" w:lineRule="auto" w:after="0"/>
        <w:ind w:firstLine="480"/>
        <w:jc w:val="both"/>
      </w:pPr>
      <w:r>
        <w:rPr>
          <w:rFonts w:ascii="宋体" w:hAnsi="宋体" w:eastAsia="宋体" w:cs="宋体"/>
          <w:b w:val="0"/>
          <w:color w:val="000000"/>
          <w:sz w:val="24"/>
        </w:rPr>
        <w:t>补偿方式采用低压动态集中补偿，补偿后功率因数可达到0.95以上。</w:t>
      </w:r>
    </w:p>
    <w:p>
      <w:pPr>
        <w:spacing w:before="160" w:after="80" w:line="360" w:lineRule="auto"/>
      </w:pPr>
      <w:r>
        <w:rPr>
          <w:rFonts w:ascii="宋体" w:hAnsi="宋体" w:eastAsia="宋体" w:cs="宋体"/>
          <w:b/>
          <w:color w:val="000000"/>
          <w:sz w:val="24"/>
        </w:rPr>
        <w:t>四、保护与控制</w:t>
      </w:r>
    </w:p>
    <w:p>
      <w:pPr>
        <w:spacing w:line="360" w:lineRule="auto" w:after="0"/>
        <w:ind w:firstLine="480"/>
        <w:jc w:val="both"/>
      </w:pPr>
      <w:r>
        <w:rPr>
          <w:rFonts w:ascii="宋体" w:hAnsi="宋体" w:eastAsia="宋体" w:cs="宋体"/>
          <w:b w:val="0"/>
          <w:color w:val="000000"/>
          <w:sz w:val="24"/>
        </w:rPr>
        <w:t>10kV进线及母联继电保护设置过电流保护、电流速断保护。母线分段断路器电流速断保护在合闸瞬间投入，合闸后自动解除。</w:t>
      </w:r>
    </w:p>
    <w:p>
      <w:pPr>
        <w:spacing w:line="360" w:lineRule="auto" w:after="0"/>
        <w:ind w:firstLine="480"/>
        <w:jc w:val="both"/>
      </w:pPr>
      <w:r>
        <w:rPr>
          <w:rFonts w:ascii="宋体" w:hAnsi="宋体" w:eastAsia="宋体" w:cs="宋体"/>
          <w:b w:val="0"/>
          <w:color w:val="000000"/>
          <w:sz w:val="24"/>
        </w:rPr>
        <w:t>10kV电力变压器继电保护设置电流速断保护、带时限过流保护、零序过电流保护、过负荷保护、温度保护。</w:t>
      </w:r>
    </w:p>
    <w:p>
      <w:pPr>
        <w:spacing w:line="360" w:lineRule="auto" w:after="0"/>
        <w:ind w:firstLine="480"/>
        <w:jc w:val="both"/>
      </w:pPr>
      <w:r>
        <w:rPr>
          <w:rFonts w:ascii="宋体" w:hAnsi="宋体" w:eastAsia="宋体" w:cs="宋体"/>
          <w:b w:val="0"/>
          <w:color w:val="000000"/>
          <w:sz w:val="24"/>
        </w:rPr>
        <w:t>电机设手动/自动两种控制方式，通过转换开关进行选择。一般情况下，手动仅为设备维护调试及现场操作使用。设备日常工作时，转换开关选择自动位置由可编程序控制器完成日常的工况。电动机一般的控制方式为：可在现场按钮箱上手动控制，也可由PLC自动控制；控制方式的选择由安装现场控制箱上的转换开关SAC完成。</w:t>
      </w:r>
    </w:p>
    <w:p>
      <w:pPr>
        <w:spacing w:line="360" w:lineRule="auto" w:after="0"/>
        <w:ind w:firstLine="480"/>
        <w:jc w:val="both"/>
      </w:pPr>
      <w:r>
        <w:rPr>
          <w:rFonts w:ascii="宋体" w:hAnsi="宋体" w:eastAsia="宋体" w:cs="宋体"/>
          <w:b w:val="0"/>
          <w:color w:val="000000"/>
          <w:sz w:val="24"/>
        </w:rPr>
        <w:t>低压总进线开关（断路器）设短路速断、延时速断及长延时过电流三段保护；两进线开关与母联开关实现三取二互锁。</w:t>
      </w:r>
    </w:p>
    <w:p>
      <w:pPr>
        <w:spacing w:line="360" w:lineRule="auto" w:after="0"/>
        <w:ind w:firstLine="480"/>
        <w:jc w:val="both"/>
      </w:pPr>
      <w:r>
        <w:rPr>
          <w:rFonts w:ascii="宋体" w:hAnsi="宋体" w:eastAsia="宋体" w:cs="宋体"/>
          <w:b w:val="0"/>
          <w:color w:val="000000"/>
          <w:sz w:val="24"/>
        </w:rPr>
        <w:t>电动机保护回路设短路、过电流保护及过载保护。过载保护器件采用热继电器或反时限特性的过载脱扣器，装有瞬动脱扣器和长延时脱扣器的电动机保护型低压断路器兼作电动机过载保护。</w:t>
      </w:r>
    </w:p>
    <w:p>
      <w:pPr>
        <w:spacing w:line="360" w:lineRule="auto" w:after="0"/>
        <w:ind w:firstLine="480"/>
        <w:jc w:val="both"/>
      </w:pPr>
      <w:r>
        <w:rPr>
          <w:rFonts w:ascii="宋体" w:hAnsi="宋体" w:eastAsia="宋体" w:cs="宋体"/>
          <w:b w:val="0"/>
          <w:color w:val="000000"/>
          <w:sz w:val="24"/>
        </w:rPr>
        <w:t>在配电线路中通过接地和等电位联结降低建筑物电气装置接触电压，当电动机的短路保护器件满足接地故障保护要求时，应采用短路保护兼作接地故障保护。</w:t>
      </w:r>
    </w:p>
    <w:p>
      <w:pPr>
        <w:spacing w:before="160" w:after="80" w:line="360" w:lineRule="auto"/>
      </w:pPr>
      <w:r>
        <w:rPr>
          <w:rFonts w:ascii="宋体" w:hAnsi="宋体" w:eastAsia="宋体" w:cs="宋体"/>
          <w:b/>
          <w:color w:val="000000"/>
          <w:sz w:val="24"/>
        </w:rPr>
        <w:t>五、照明</w:t>
      </w:r>
    </w:p>
    <w:p>
      <w:pPr>
        <w:spacing w:line="360" w:lineRule="auto" w:after="0"/>
        <w:ind w:firstLine="480"/>
        <w:jc w:val="both"/>
      </w:pPr>
      <w:r>
        <w:rPr>
          <w:rFonts w:ascii="宋体" w:hAnsi="宋体" w:eastAsia="宋体" w:cs="宋体"/>
          <w:b w:val="0"/>
          <w:color w:val="000000"/>
          <w:sz w:val="24"/>
        </w:rPr>
        <w:t>普通照明：照明网络电压采用交流220/380VAC。设一般性工作照明，照明灯具根据环境要求和实际需要确定适当灯具，建筑物室内照明采用LED灯具。LED光源应符合以下条件：（1）显色指数（Ra）不低于80；（2）色容差不超过5SDCM；（3）色温为3000~5000K；（4）寿命期内的色偏差不应超过0.007；（5）不同方向的色偏差不应超过0.004；（6）LED灯具效率不低于80%；（7）LED灯具功率因数0.9以上。</w:t>
      </w:r>
    </w:p>
    <w:p>
      <w:pPr>
        <w:spacing w:line="360" w:lineRule="auto" w:after="0"/>
        <w:ind w:firstLine="480"/>
        <w:jc w:val="both"/>
      </w:pPr>
      <w:r>
        <w:rPr>
          <w:rFonts w:ascii="宋体" w:hAnsi="宋体" w:eastAsia="宋体" w:cs="宋体"/>
          <w:b w:val="0"/>
          <w:color w:val="000000"/>
          <w:sz w:val="24"/>
        </w:rPr>
        <w:t>厂区路灯采用太阳能LED灯。灯具厂家需提供灯具的强制性产品认证、光效报告或证书，以保证LED灯的质量。</w:t>
      </w:r>
    </w:p>
    <w:p>
      <w:pPr>
        <w:spacing w:line="360" w:lineRule="auto" w:after="0"/>
        <w:ind w:firstLine="480"/>
        <w:jc w:val="both"/>
      </w:pPr>
      <w:r>
        <w:rPr>
          <w:rFonts w:ascii="宋体" w:hAnsi="宋体" w:eastAsia="宋体" w:cs="宋体"/>
          <w:b w:val="0"/>
          <w:color w:val="000000"/>
          <w:sz w:val="24"/>
        </w:rPr>
        <w:t>照度标准参照国标《建筑节能与可再生能源利用通用规范》GB55015-2021，主要场所的照度要求如下：</w:t>
      </w:r>
    </w:p>
    <w:tbl>
      <w:tblPr>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1"/>
              </w:rPr>
              <w:t>房间名称</w:t>
            </w:r>
          </w:p>
        </w:tc>
        <w:tc>
          <w:tcPr>
            <w:tcW w:type="dxa" w:w="255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1"/>
              </w:rPr>
              <w:t>照度标准值（Lx）</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1"/>
              </w:rPr>
              <w:t>照明功率密度限值（W/m²）</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配电室</w:t>
            </w:r>
          </w:p>
        </w:tc>
        <w:tc>
          <w:tcPr>
            <w:tcW w:type="dxa" w:w="255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200</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6</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控制室</w:t>
            </w:r>
          </w:p>
        </w:tc>
        <w:tc>
          <w:tcPr>
            <w:tcW w:type="dxa" w:w="255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300</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8</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办公室、会议室</w:t>
            </w:r>
          </w:p>
        </w:tc>
        <w:tc>
          <w:tcPr>
            <w:tcW w:type="dxa" w:w="255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300</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8</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门厅、走道</w:t>
            </w:r>
          </w:p>
        </w:tc>
        <w:tc>
          <w:tcPr>
            <w:tcW w:type="dxa" w:w="255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100</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3.5</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泵房、锅炉房、加药间</w:t>
            </w:r>
          </w:p>
        </w:tc>
        <w:tc>
          <w:tcPr>
            <w:tcW w:type="dxa" w:w="255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100</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3.5</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滤池、吸附池、沉淀池</w:t>
            </w:r>
          </w:p>
        </w:tc>
        <w:tc>
          <w:tcPr>
            <w:tcW w:type="dxa" w:w="255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100</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3.5</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膜车间、蒸发结晶车间</w:t>
            </w:r>
          </w:p>
        </w:tc>
        <w:tc>
          <w:tcPr>
            <w:tcW w:type="dxa" w:w="255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100</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3.5</w:t>
            </w:r>
          </w:p>
        </w:tc>
      </w:tr>
      <w:tr>
        <w:trPr>
          <w:cantSplit/>
        </w:trPr>
        <w:tc>
          <w:tcPr>
            <w:tcW w:type="dxa" w:w="3685"/>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1"/>
              </w:rPr>
              <w:t>传达室</w:t>
            </w:r>
          </w:p>
        </w:tc>
        <w:tc>
          <w:tcPr>
            <w:tcW w:type="dxa" w:w="255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100</w:t>
            </w:r>
          </w:p>
        </w:tc>
        <w:tc>
          <w:tcPr>
            <w:tcW w:type="dxa" w:w="2835"/>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1"/>
              </w:rPr>
              <w:t>3.5</w:t>
            </w:r>
          </w:p>
        </w:tc>
      </w:tr>
    </w:tbl>
    <w:p>
      <w:pPr>
        <w:spacing w:line="360" w:lineRule="auto" w:after="0"/>
        <w:ind w:firstLine="480"/>
        <w:jc w:val="both"/>
      </w:pPr>
      <w:r>
        <w:rPr>
          <w:rFonts w:ascii="宋体" w:hAnsi="宋体" w:eastAsia="宋体" w:cs="宋体"/>
          <w:b w:val="0"/>
          <w:color w:val="000000"/>
          <w:sz w:val="24"/>
        </w:rPr>
        <w:t>消防应急照明：消防应急照明和疏散指示系统采用集中电源非集中控制型系统。消防应急照明灯具应符合现行国家标准《消防应急照明和疏散指示系统技术标准》GB51309-2018的有关规定。应急照明集中电源的输入及输出回路中不应装设剩余电流动作保护器，输出回路严禁接入系统以外的开关装置、插座及其他负载。</w:t>
      </w:r>
    </w:p>
    <w:p>
      <w:pPr>
        <w:spacing w:line="360" w:lineRule="auto" w:after="0"/>
        <w:ind w:firstLine="480"/>
        <w:jc w:val="both"/>
      </w:pPr>
      <w:r>
        <w:rPr>
          <w:rFonts w:ascii="宋体" w:hAnsi="宋体" w:eastAsia="宋体" w:cs="宋体"/>
          <w:b w:val="0"/>
          <w:color w:val="000000"/>
          <w:sz w:val="24"/>
        </w:rPr>
        <w:t>非火灾状态下的系统控制：应保持主电源为灯具供电；系统内所有非持续型照明灯应保持熄灭状态，持续型照明灯的光源应保持节电点亮模式。</w:t>
      </w:r>
    </w:p>
    <w:p>
      <w:pPr>
        <w:spacing w:line="360" w:lineRule="auto" w:after="0"/>
        <w:ind w:firstLine="480"/>
        <w:jc w:val="both"/>
      </w:pPr>
      <w:r>
        <w:rPr>
          <w:rFonts w:ascii="宋体" w:hAnsi="宋体" w:eastAsia="宋体" w:cs="宋体"/>
          <w:b w:val="0"/>
          <w:color w:val="000000"/>
          <w:sz w:val="24"/>
        </w:rPr>
        <w:t>火灾状态下的系统控制：火灾确认后，应能手动控制系统的应急启动；应能手动操作集中电源，控制集中电源转入蓄电池电源输出，同时控制其配接的所有非持续型照明灯的光源应急点亮，持续型灯具的光源由节电点亮模式转入应急点亮模式。火灾状态下，灯具光源应急点亮、熄灭响应时间不应大于5s；系统应急启动后，A型应急照明集中电源供电持续工作时间不应少于30min。</w:t>
      </w:r>
    </w:p>
    <w:p>
      <w:pPr>
        <w:spacing w:line="360" w:lineRule="auto" w:after="0"/>
        <w:ind w:firstLine="480"/>
        <w:jc w:val="both"/>
      </w:pPr>
      <w:r>
        <w:rPr>
          <w:rFonts w:ascii="宋体" w:hAnsi="宋体" w:eastAsia="宋体" w:cs="宋体"/>
          <w:b w:val="0"/>
          <w:color w:val="000000"/>
          <w:sz w:val="24"/>
        </w:rPr>
        <w:t>楼梯间及其前室、主要出入口等场所设置应急疏散照明，疏散走道地面的最低水平照度不应低于3.0Lx，楼梯间、前室或合用前室内地面的最低水平照度不应低于10.0Lx。</w:t>
      </w:r>
    </w:p>
    <w:p>
      <w:pPr>
        <w:spacing w:before="160" w:after="80" w:line="360" w:lineRule="auto"/>
      </w:pPr>
      <w:r>
        <w:rPr>
          <w:rFonts w:ascii="宋体" w:hAnsi="宋体" w:eastAsia="宋体" w:cs="宋体"/>
          <w:b/>
          <w:color w:val="000000"/>
          <w:sz w:val="24"/>
        </w:rPr>
        <w:t>六、电缆选择及敷设</w:t>
      </w:r>
    </w:p>
    <w:p>
      <w:pPr>
        <w:spacing w:line="360" w:lineRule="auto" w:after="0"/>
        <w:ind w:firstLine="480"/>
        <w:jc w:val="both"/>
      </w:pPr>
      <w:r>
        <w:rPr>
          <w:rFonts w:ascii="宋体" w:hAnsi="宋体" w:eastAsia="宋体" w:cs="宋体"/>
          <w:b w:val="0"/>
          <w:color w:val="000000"/>
          <w:sz w:val="24"/>
        </w:rPr>
        <w:t>低压电缆型号主要采用YJV-0.6/1kV型，控制电缆采用KYJV-0.45/0.75kV型，或相应的阻火电缆。室内外电缆采用电缆沟、电缆桥架或穿钢管敷设。电缆构筑物中电缆引至电气柜、盘和控制屏、台的开孔部位，电缆贯穿隔墙、楼板的孔洞处，工作井中电缆管孔等均应实施阻火封堵，电缆防火封堵应参考06D105《电缆防火阻燃设计与施工图集》第19-26页；电缆在电缆桥架内敷设时，桥架全长不大于30m时，与接地网相连不应少于2处，全长大于30m时，应每隔20m～30m增加与接地网的连接点，电缆桥架的起始端和终点端应与接地网可靠连接。电缆桥架预留洞应做防火封堵，电力电缆与控制电缆之间应用隔板隔开；电缆穿入保护管时管口应密封。电缆直埋覆土深度不小于0.7米，上部应盖水泥盖板保护。电缆沟作防水处理，电缆敷设详细做法请参照标准图集《民用建筑电气设计与施工-室外布线》（08D800-7）。</w:t>
      </w:r>
    </w:p>
    <w:p>
      <w:pPr>
        <w:spacing w:line="360" w:lineRule="auto" w:after="0"/>
        <w:ind w:firstLine="480"/>
        <w:jc w:val="both"/>
      </w:pPr>
      <w:r>
        <w:rPr>
          <w:rFonts w:ascii="宋体" w:hAnsi="宋体" w:eastAsia="宋体" w:cs="宋体"/>
          <w:b w:val="0"/>
          <w:color w:val="000000"/>
          <w:sz w:val="24"/>
        </w:rPr>
        <w:t>滑触线安装应参照06D401-1《吊车供电线路安装》施工，参考1-21页。每隔50m做集水坑，集水坑根据当地地下水位情况选用相应的做法。电缆穿管采用RC钢管，管径根据施工现场的情况参照19DX101-1《建筑电气常用数据》第6-34、6-36页。应急照明线缆采用耐火线缆，穿管敷设在不燃烧体内，暗敷保护层厚度不小于30mm。</w:t>
      </w:r>
    </w:p>
    <w:p>
      <w:pPr>
        <w:spacing w:before="160" w:after="80" w:line="360" w:lineRule="auto"/>
      </w:pPr>
      <w:r>
        <w:rPr>
          <w:rFonts w:ascii="宋体" w:hAnsi="宋体" w:eastAsia="宋体" w:cs="宋体"/>
          <w:b/>
          <w:color w:val="000000"/>
          <w:sz w:val="24"/>
        </w:rPr>
        <w:t>七、防雷及接地</w:t>
      </w:r>
    </w:p>
    <w:p>
      <w:pPr>
        <w:spacing w:line="360" w:lineRule="auto" w:after="0"/>
        <w:ind w:firstLine="480"/>
        <w:jc w:val="both"/>
      </w:pPr>
      <w:r>
        <w:rPr>
          <w:rFonts w:ascii="宋体" w:hAnsi="宋体" w:eastAsia="宋体" w:cs="宋体"/>
          <w:b w:val="0"/>
          <w:color w:val="000000"/>
          <w:sz w:val="24"/>
        </w:rPr>
        <w:t>全厂建筑物除臭氧发生间外均按第三类防雷设计，臭氧发生间因建筑物爆炸危险性，按照第二类防雷建筑物设计。全厂采用TN-S接地系统。</w:t>
      </w:r>
    </w:p>
    <w:p>
      <w:pPr>
        <w:spacing w:line="360" w:lineRule="auto" w:after="0"/>
        <w:ind w:firstLine="480"/>
        <w:jc w:val="both"/>
      </w:pPr>
      <w:r>
        <w:rPr>
          <w:rFonts w:ascii="宋体" w:hAnsi="宋体" w:eastAsia="宋体" w:cs="宋体"/>
          <w:b w:val="0"/>
          <w:color w:val="000000"/>
          <w:sz w:val="24"/>
        </w:rPr>
        <w:t>在电源进线、网络进线、电话进线、PLC的通信网络端口及4~20mA模拟量信号的设备进线和出线端口安装防雷过电压及感应过电压保护装置，变配电室高、低压母线设相应的防雷装置。本工程利用建（构）筑物根据规范做等电位联结。所有电气设备均作接地保护，自控、仪表与电气共用一个接地系统，使全厂处于等电位，要求接地电阻不大于1欧姆，以保证全厂所有的仪器仪表、计算机、动力设备正常运行。</w:t>
      </w:r>
    </w:p>
    <w:p>
      <w:pPr>
        <w:spacing w:before="160" w:after="80" w:line="360" w:lineRule="auto"/>
      </w:pPr>
      <w:r>
        <w:rPr>
          <w:rFonts w:ascii="宋体" w:hAnsi="宋体" w:eastAsia="宋体" w:cs="宋体"/>
          <w:b/>
          <w:color w:val="000000"/>
          <w:sz w:val="24"/>
        </w:rPr>
        <w:t>八、电气节能设计</w:t>
      </w:r>
    </w:p>
    <w:p>
      <w:pPr>
        <w:spacing w:line="360" w:lineRule="auto" w:after="0"/>
        <w:ind w:firstLine="480"/>
        <w:jc w:val="both"/>
      </w:pPr>
      <w:r>
        <w:rPr>
          <w:rFonts w:ascii="宋体" w:hAnsi="宋体" w:eastAsia="宋体" w:cs="宋体"/>
          <w:b w:val="0"/>
          <w:color w:val="000000"/>
          <w:sz w:val="24"/>
        </w:rPr>
        <w:t>1）为了降低波动负荷引起的电压波动和电压闪变，在配电控制室采用动态无功补偿装置，对用电设备的无功功率进行集中补偿。</w:t>
      </w:r>
    </w:p>
    <w:p>
      <w:pPr>
        <w:spacing w:line="360" w:lineRule="auto" w:after="0"/>
        <w:ind w:firstLine="480"/>
        <w:jc w:val="both"/>
      </w:pPr>
      <w:r>
        <w:rPr>
          <w:rFonts w:ascii="宋体" w:hAnsi="宋体" w:eastAsia="宋体" w:cs="宋体"/>
          <w:b w:val="0"/>
          <w:color w:val="000000"/>
          <w:sz w:val="24"/>
        </w:rPr>
        <w:t>2）为防止各类非线性用电设备产生的谐波所引起的电压正弦波形畸变率，选用D,yn11接线组别的三相配电变压器。</w:t>
      </w:r>
    </w:p>
    <w:p>
      <w:pPr>
        <w:spacing w:line="360" w:lineRule="auto" w:after="0"/>
        <w:ind w:firstLine="480"/>
        <w:jc w:val="both"/>
      </w:pPr>
      <w:r>
        <w:rPr>
          <w:rFonts w:ascii="宋体" w:hAnsi="宋体" w:eastAsia="宋体" w:cs="宋体"/>
          <w:b w:val="0"/>
          <w:color w:val="000000"/>
          <w:sz w:val="24"/>
        </w:rPr>
        <w:t>3）电机设备根据工艺要求和工作特性分别选择合理的起动方式。</w:t>
      </w:r>
    </w:p>
    <w:p>
      <w:pPr>
        <w:spacing w:line="360" w:lineRule="auto" w:after="0"/>
        <w:ind w:firstLine="480"/>
        <w:jc w:val="both"/>
      </w:pPr>
      <w:r>
        <w:rPr>
          <w:rFonts w:ascii="宋体" w:hAnsi="宋体" w:eastAsia="宋体" w:cs="宋体"/>
          <w:b w:val="0"/>
          <w:color w:val="000000"/>
          <w:sz w:val="24"/>
        </w:rPr>
        <w:t>4）室内照度参照《建筑照明设计标准》GB50034-2013要求设计，严格控制各房间、场所的照明功率密度值，各房间场所的照度值、统一眩光值、显色指数等均满足标准要求，所有房间照明功率密度值均不高于《建筑照明设计标准》中规定的目标值。公共场所和部位的照明采用高效光源、高效灯具和低损耗镇流器等附件，并采取其他节能控制措施，走廊、楼梯间、门厅等场所的照明系统采取分区、定时、感应等节能控制措施，在有自然采光的区域设定时或光电控制。</w:t>
      </w:r>
    </w:p>
    <w:p>
      <w:pPr>
        <w:spacing w:line="360" w:lineRule="auto" w:after="0"/>
        <w:ind w:firstLine="480"/>
        <w:jc w:val="both"/>
      </w:pPr>
      <w:r>
        <w:rPr>
          <w:rFonts w:ascii="宋体" w:hAnsi="宋体" w:eastAsia="宋体" w:cs="宋体"/>
          <w:b w:val="0"/>
          <w:color w:val="000000"/>
          <w:sz w:val="24"/>
        </w:rPr>
        <w:t>5）选用绿色、环保且经国家认证的电气产品。在满足国家规范及供电行业标准的前提下，选用高性能电气设备、高品质电缆、电线以降低自身损耗。</w:t>
      </w:r>
    </w:p>
    <w:p>
      <w:pPr>
        <w:spacing w:line="360" w:lineRule="auto" w:after="0"/>
        <w:ind w:firstLine="480"/>
        <w:jc w:val="both"/>
      </w:pPr>
      <w:r>
        <w:rPr>
          <w:rFonts w:ascii="宋体" w:hAnsi="宋体" w:eastAsia="宋体" w:cs="宋体"/>
          <w:b w:val="0"/>
          <w:color w:val="000000"/>
          <w:sz w:val="24"/>
        </w:rPr>
        <w:t>6）电力变压器、电动机、交流接触器和照明产品的能效水平应高于能效限定值或能效等级3级的要求。</w:t>
      </w:r>
    </w:p>
    <w:p>
      <w:pPr>
        <w:spacing w:line="360" w:lineRule="auto" w:after="0"/>
        <w:ind w:firstLine="480"/>
        <w:jc w:val="both"/>
      </w:pPr>
      <w:r>
        <w:rPr>
          <w:rFonts w:ascii="宋体" w:hAnsi="宋体" w:eastAsia="宋体" w:cs="宋体"/>
          <w:b w:val="0"/>
          <w:color w:val="000000"/>
          <w:sz w:val="24"/>
        </w:rPr>
        <w:t>7）根据《建筑节能与可再生能源利用通用规范》（GB55015-2021）要求新建建筑应安装太阳能系统，本工程在综合楼安装太阳能系统，系统的设计由具有专业设计资质（分布式光伏发电项目设计单位应取得《电力行业（新能源发电）设计资质乙级证书》及以上相关资质证书）的光伏承包商负责，设计院负责与其系统的接口协调事宜。土建专业预留光伏系统安装荷载。</w:t>
      </w:r>
    </w:p>
    <w:p>
      <w:pPr>
        <w:spacing w:before="160" w:after="80" w:line="360" w:lineRule="auto"/>
      </w:pPr>
      <w:r>
        <w:rPr>
          <w:rFonts w:ascii="宋体" w:hAnsi="宋体" w:eastAsia="宋体" w:cs="宋体"/>
          <w:b/>
          <w:color w:val="000000"/>
          <w:sz w:val="24"/>
        </w:rPr>
        <w:t>九、抗震设计</w:t>
      </w:r>
    </w:p>
    <w:p>
      <w:pPr>
        <w:spacing w:line="360" w:lineRule="auto" w:after="0"/>
        <w:ind w:firstLine="480"/>
        <w:jc w:val="both"/>
      </w:pPr>
      <w:r>
        <w:rPr>
          <w:rFonts w:ascii="宋体" w:hAnsi="宋体" w:eastAsia="宋体" w:cs="宋体"/>
          <w:b w:val="0"/>
          <w:color w:val="000000"/>
          <w:sz w:val="24"/>
        </w:rPr>
        <w:t>1）变压器安装就位后应焊接牢固，内部线圈应牢固固定在变压器外壳内的支撑结构上。</w:t>
      </w:r>
    </w:p>
    <w:p>
      <w:pPr>
        <w:spacing w:line="360" w:lineRule="auto" w:after="0"/>
        <w:ind w:firstLine="480"/>
        <w:jc w:val="both"/>
      </w:pPr>
      <w:r>
        <w:rPr>
          <w:rFonts w:ascii="宋体" w:hAnsi="宋体" w:eastAsia="宋体" w:cs="宋体"/>
          <w:b w:val="0"/>
          <w:color w:val="000000"/>
          <w:sz w:val="24"/>
        </w:rPr>
        <w:t>2）在电缆桥架、电缆槽盒内敷设的缆线在引进、引出和转弯处，应在长度上留有余量。</w:t>
      </w:r>
    </w:p>
    <w:p>
      <w:pPr>
        <w:spacing w:line="360" w:lineRule="auto" w:after="0"/>
        <w:ind w:firstLine="480"/>
        <w:jc w:val="both"/>
      </w:pPr>
      <w:r>
        <w:rPr>
          <w:rFonts w:ascii="宋体" w:hAnsi="宋体" w:eastAsia="宋体" w:cs="宋体"/>
          <w:b w:val="0"/>
          <w:color w:val="000000"/>
          <w:sz w:val="24"/>
        </w:rPr>
        <w:t>3）引入建筑的电气管线在进口处应采用挠性线管。</w:t>
      </w:r>
    </w:p>
    <w:p>
      <w:pPr>
        <w:spacing w:line="360" w:lineRule="auto" w:after="0"/>
        <w:ind w:firstLine="480"/>
        <w:jc w:val="both"/>
      </w:pPr>
      <w:r>
        <w:rPr>
          <w:rFonts w:ascii="宋体" w:hAnsi="宋体" w:eastAsia="宋体" w:cs="宋体"/>
          <w:b w:val="0"/>
          <w:color w:val="000000"/>
          <w:sz w:val="24"/>
        </w:rPr>
        <w:t>4）配电装置至用电设备间连线进口处应转换为挠性线管过渡。</w:t>
      </w:r>
    </w:p>
    <w:p>
      <w:pPr>
        <w:spacing w:line="360" w:lineRule="auto" w:after="0"/>
        <w:ind w:firstLine="480"/>
        <w:jc w:val="both"/>
      </w:pPr>
      <w:r>
        <w:rPr>
          <w:rFonts w:ascii="宋体" w:hAnsi="宋体" w:eastAsia="宋体" w:cs="宋体"/>
          <w:b w:val="0"/>
          <w:color w:val="000000"/>
          <w:sz w:val="24"/>
        </w:rPr>
        <w:t>5）接地线应采取防止地震时被切断的措施。</w:t>
      </w:r>
    </w:p>
    <w:p>
      <w:pPr>
        <w:spacing w:line="360" w:lineRule="auto" w:after="0"/>
        <w:ind w:firstLine="480"/>
        <w:jc w:val="both"/>
      </w:pPr>
      <w:r>
        <w:rPr>
          <w:rFonts w:ascii="宋体" w:hAnsi="宋体" w:eastAsia="宋体" w:cs="宋体"/>
          <w:b w:val="0"/>
          <w:color w:val="000000"/>
          <w:sz w:val="24"/>
        </w:rPr>
        <w:t>6）金属导管、电缆梯架或电缆槽盒敷设时，应使用刚性托盘或支架固定，不宜使用吊架。当必须使用吊架时，应安装横向防晃吊架。</w:t>
      </w:r>
    </w:p>
    <w:p>
      <w:pPr>
        <w:spacing w:before="160" w:after="80" w:line="360" w:lineRule="auto"/>
      </w:pPr>
      <w:r>
        <w:rPr>
          <w:rFonts w:ascii="宋体" w:hAnsi="宋体" w:eastAsia="宋体" w:cs="宋体"/>
          <w:b/>
          <w:color w:val="000000"/>
          <w:sz w:val="24"/>
        </w:rPr>
        <w:t>十、施工时所需参照的主要标准图集</w:t>
      </w:r>
    </w:p>
    <w:p>
      <w:pPr>
        <w:spacing w:line="360" w:lineRule="auto" w:after="0"/>
        <w:ind w:firstLine="480"/>
        <w:jc w:val="both"/>
      </w:pPr>
      <w:r>
        <w:rPr>
          <w:rFonts w:ascii="宋体" w:hAnsi="宋体" w:eastAsia="宋体" w:cs="宋体"/>
          <w:b w:val="0"/>
          <w:color w:val="000000"/>
          <w:sz w:val="24"/>
        </w:rPr>
        <w:t>（1）12D101-5《110kV及以下电缆敷设》</w:t>
      </w:r>
    </w:p>
    <w:p>
      <w:pPr>
        <w:spacing w:line="360" w:lineRule="auto" w:after="0"/>
        <w:ind w:firstLine="480"/>
        <w:jc w:val="both"/>
      </w:pPr>
      <w:r>
        <w:rPr>
          <w:rFonts w:ascii="宋体" w:hAnsi="宋体" w:eastAsia="宋体" w:cs="宋体"/>
          <w:b w:val="0"/>
          <w:color w:val="000000"/>
          <w:sz w:val="24"/>
        </w:rPr>
        <w:t>（2）99D201-2《干式变压器安装》</w:t>
      </w:r>
    </w:p>
    <w:p>
      <w:pPr>
        <w:spacing w:line="360" w:lineRule="auto" w:after="0"/>
        <w:ind w:firstLine="480"/>
        <w:jc w:val="both"/>
      </w:pPr>
      <w:r>
        <w:rPr>
          <w:rFonts w:ascii="宋体" w:hAnsi="宋体" w:eastAsia="宋体" w:cs="宋体"/>
          <w:b w:val="0"/>
          <w:color w:val="000000"/>
          <w:sz w:val="24"/>
        </w:rPr>
        <w:t>（3）17D201-4《20/0.4kV及以下油浸变压器室布置及变配电所常用设备构件安装》</w:t>
      </w:r>
    </w:p>
    <w:p>
      <w:pPr>
        <w:spacing w:line="360" w:lineRule="auto" w:after="0"/>
        <w:ind w:firstLine="480"/>
        <w:jc w:val="both"/>
      </w:pPr>
      <w:r>
        <w:rPr>
          <w:rFonts w:ascii="宋体" w:hAnsi="宋体" w:eastAsia="宋体" w:cs="宋体"/>
          <w:b w:val="0"/>
          <w:color w:val="000000"/>
          <w:sz w:val="24"/>
        </w:rPr>
        <w:t>（4）16D303-2《常用风机控制电路图》</w:t>
      </w:r>
    </w:p>
    <w:p>
      <w:pPr>
        <w:spacing w:line="360" w:lineRule="auto" w:after="0"/>
        <w:ind w:firstLine="480"/>
        <w:jc w:val="both"/>
      </w:pPr>
      <w:r>
        <w:rPr>
          <w:rFonts w:ascii="宋体" w:hAnsi="宋体" w:eastAsia="宋体" w:cs="宋体"/>
          <w:b w:val="0"/>
          <w:color w:val="000000"/>
          <w:sz w:val="24"/>
        </w:rPr>
        <w:t>（5）D301-1~3《室内管线安装》</w:t>
      </w:r>
    </w:p>
    <w:p>
      <w:pPr>
        <w:spacing w:line="360" w:lineRule="auto" w:after="0"/>
        <w:ind w:firstLine="480"/>
        <w:jc w:val="both"/>
      </w:pPr>
      <w:r>
        <w:rPr>
          <w:rFonts w:ascii="宋体" w:hAnsi="宋体" w:eastAsia="宋体" w:cs="宋体"/>
          <w:b w:val="0"/>
          <w:color w:val="000000"/>
          <w:sz w:val="24"/>
        </w:rPr>
        <w:t>（6）06D401-1《吊车供电线路安装》</w:t>
      </w:r>
    </w:p>
    <w:p>
      <w:pPr>
        <w:spacing w:line="360" w:lineRule="auto" w:after="0"/>
        <w:ind w:firstLine="480"/>
        <w:jc w:val="both"/>
      </w:pPr>
      <w:r>
        <w:rPr>
          <w:rFonts w:ascii="宋体" w:hAnsi="宋体" w:eastAsia="宋体" w:cs="宋体"/>
          <w:b w:val="0"/>
          <w:color w:val="000000"/>
          <w:sz w:val="24"/>
        </w:rPr>
        <w:t>（7）14D504《接地装置安装》</w:t>
      </w:r>
    </w:p>
    <w:p>
      <w:pPr>
        <w:spacing w:line="360" w:lineRule="auto" w:after="0"/>
        <w:ind w:firstLine="480"/>
        <w:jc w:val="both"/>
      </w:pPr>
      <w:r>
        <w:rPr>
          <w:rFonts w:ascii="宋体" w:hAnsi="宋体" w:eastAsia="宋体" w:cs="宋体"/>
          <w:b w:val="0"/>
          <w:color w:val="000000"/>
          <w:sz w:val="24"/>
        </w:rPr>
        <w:t>（8）04D701-3《电缆桥架安装》</w:t>
      </w:r>
    </w:p>
    <w:p>
      <w:pPr>
        <w:spacing w:before="160" w:after="80" w:line="360" w:lineRule="auto"/>
      </w:pPr>
      <w:r>
        <w:rPr>
          <w:rFonts w:ascii="宋体" w:hAnsi="宋体" w:eastAsia="宋体" w:cs="宋体"/>
          <w:b/>
          <w:color w:val="000000"/>
          <w:sz w:val="24"/>
        </w:rPr>
        <w:t>十一、其他</w:t>
      </w:r>
    </w:p>
    <w:p>
      <w:pPr>
        <w:spacing w:line="360" w:lineRule="auto" w:after="0"/>
        <w:ind w:firstLine="480"/>
        <w:jc w:val="both"/>
      </w:pPr>
      <w:r>
        <w:rPr>
          <w:rFonts w:ascii="宋体" w:hAnsi="宋体" w:eastAsia="宋体" w:cs="宋体"/>
          <w:b w:val="0"/>
          <w:color w:val="000000"/>
          <w:sz w:val="24"/>
        </w:rPr>
        <w:t>1、密切配合土建专业做好留洞预埋工作。</w:t>
      </w:r>
    </w:p>
    <w:p>
      <w:pPr>
        <w:spacing w:line="360" w:lineRule="auto" w:after="0"/>
        <w:ind w:firstLine="480"/>
        <w:jc w:val="both"/>
      </w:pPr>
      <w:r>
        <w:rPr>
          <w:rFonts w:ascii="宋体" w:hAnsi="宋体" w:eastAsia="宋体" w:cs="宋体"/>
          <w:b w:val="0"/>
          <w:color w:val="000000"/>
          <w:sz w:val="24"/>
        </w:rPr>
        <w:t>2、高低压配电室、控制室等应设置防止雨、雪和蛇、鼠类小动物从采光窗、通风窗、门、电缆沟等进入室内的设施。</w:t>
      </w:r>
    </w:p>
    <w:p>
      <w:pPr>
        <w:spacing w:line="360" w:lineRule="auto" w:after="0"/>
        <w:ind w:firstLine="480"/>
        <w:jc w:val="both"/>
      </w:pPr>
      <w:r>
        <w:rPr>
          <w:rFonts w:ascii="宋体" w:hAnsi="宋体" w:eastAsia="宋体" w:cs="宋体"/>
          <w:b w:val="0"/>
          <w:color w:val="000000"/>
          <w:sz w:val="24"/>
        </w:rPr>
        <w:t>3、图中未详之处应按国家有关规定施工或与设计单位协商解决。</w:t>
      </w:r>
    </w:p>
    <w:p>
      <w:pPr>
        <w:spacing w:line="360" w:lineRule="auto" w:after="0"/>
        <w:ind w:firstLine="480"/>
        <w:jc w:val="both"/>
      </w:pPr>
      <w:r>
        <w:rPr>
          <w:rFonts w:ascii="宋体" w:hAnsi="宋体" w:eastAsia="宋体" w:cs="宋体"/>
          <w:b w:val="0"/>
          <w:color w:val="000000"/>
          <w:sz w:val="24"/>
        </w:rPr>
        <w:t>4、电气设备成套商应仔细核对最终工艺设备电机功率（由甲方提供），避免因工艺设备功率与电气设计功率不符造成返工。</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