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  <w:jc w:val="center"/>
      </w:pPr>
      <w:r>
        <w:rPr>
          <w:rFonts w:ascii="宋体" w:hAnsi="宋体" w:eastAsia="宋体" w:cs="宋体"/>
          <w:b/>
          <w:color w:val="000000"/>
          <w:sz w:val="32"/>
        </w:rPr>
        <w:t>配泥井工艺设计说明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1、本分项为塔城地区乌苏市污水处理厂建设项目三期工程（设计-施工-运营）工程总承包配泥井分项。设计规模为20000m³/d，变化系数1.10。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2、配泥井为钢筋混凝土池体。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3、图中尺寸单位除标高以米计外，其余均以毫米计。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4、本图中所注高程为绝对高程，采用1985国家高程。管道标高除特别注明外，均为管中心标高。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5、管材与连接：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1）进厂污水工艺管采用钢筋混凝土管。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2）工艺污水管道及室内排水管道采用Q335-B焊接钢管，金属管道连接，除特殊说明外均采用焊接；采用法兰连接时，法兰材质同管道材质，做法参见02S403-79，P=1.0MPa。法兰连接处采用3mm EPDM橡胶垫片密封。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6、图中管道及管件长度均为理论长度，下料时应根据有关规定扣除焊缝尺寸及密封片厚。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7、预埋件材质：水面以下采用不锈钢304材质，水面以上采用Q235-B碳钢材质。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8、管道防腐做法详见总图。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9、凡覆土不足1.4米及地上管道及臭气管道均应保温。DN≥300mm的管道外部包裹50mm厚复合硅酸盐保温材料，外包0.5mm厚铝合金薄板。DN＜300mm的管道外部包裹30mm厚复合硅酸盐保温材料，外包0.5mm厚铝合金薄板。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11、管道在直管段超过3米处、弯头处、三通处和阀门处均应设支架、吊架或混凝土支墩。支架、吊架和混凝土支墩的做法参见国标25S402《室内管道支架及吊架》和10S505《柔性接口给水管道支墩》，混凝土支墩采用C20砼支墩。管道吊架、水平管支座和管卡均采用膨胀螺栓固定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12、设备安装在土建完成后进行，设备基础和管道支架除设计注明预埋螺栓或预埋铁件外，均由供货商采用螺栓现场安装，设备安装必须在供货商指导下进行。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13、由于本工程设备尚未招标，故设备预埋件及预留孔洞仅供参考；设备安装前需由供货商核实尺寸，确定无误后再行施工。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14、除设计注明外，钢制管道及其管件焊接均按《现场设备、工业管道焊接工程施工规范》（GB50236-2011）与《现场设备、工业管道焊接工程施工质量验收规范》（GB50683-2011）执行。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15、土建尺寸见建筑、结构设计图，本工艺图须与建筑、结构图对照使用。</w:t>
      </w:r>
    </w:p>
    <w:p>
      <w:pPr>
        <w:spacing w:line="360" w:lineRule="auto" w:after="0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16、管道工程量：进出水管统计至反冲洗废水池外1m。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