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设计说明</w:t>
      </w:r>
    </w:p>
    <w:p>
      <w:pPr>
        <w:pStyle w:val="Normal"/>
      </w:pPr>
      <w:r>
        <w:t>本段用于演示自动换行。混凝土强度等级为 C30，钢筋采用 HRB400，直径 Φ20@200，保护层厚度不小于 35mm，并符合 GB 50010-2010 的构造要求。文字较长时应按栏宽换行，编号不在续行重复。</w:t>
      </w:r>
    </w:p>
    <w:p>
      <w:pPr>
        <w:pStyle w:val="Normal"/>
      </w:pPr>
    </w:p>
    <w:p>
      <w:pPr>
        <w:pStyle w:val="Heading2"/>
      </w:pPr>
      <w:r>
        <w:t>材料</w:t>
      </w:r>
    </w:p>
    <w:p>
      <w:pPr>
        <w:pStyle w:val="Normal"/>
      </w:pPr>
      <w:r>
        <w:t>第一行说明</w:t>
      </w:r>
      <w:r>
        <w:br/>
      </w:r>
      <w:r>
        <w:t>第二行说明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