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sz w:val="32"/>
          <w:szCs w:val="32"/>
        </w:rPr>
        <w:t xml:space="preserve">클라우드 네이티브 오픈소스 프로젝트에서</w:t>
      </w:r>
    </w:p>
    <w:p>
      <w:pPr>
        <w:spacing w:after="400"/>
        <w:jc w:val="center"/>
      </w:pPr>
      <w:r>
        <w:rPr>
          <w:b/>
          <w:bCs/>
          <w:sz w:val="32"/>
          <w:szCs w:val="32"/>
        </w:rPr>
        <w:t xml:space="preserve">활성 기여자 수와 이슈 처리 시간의 관계</w:t>
      </w:r>
    </w:p>
    <w:p>
      <w:pPr>
        <w:spacing w:after="800"/>
        <w:jc w:val="center"/>
      </w:pPr>
      <w:r>
        <w:rPr>
          <w:color w:val="555555"/>
          <w:sz w:val="24"/>
          <w:szCs w:val="24"/>
        </w:rPr>
        <w:t xml:space="preserve">— CNCF 10개 프로젝트 분석 —</w:t>
      </w:r>
    </w:p>
    <w:p>
      <w:pPr>
        <w:spacing w:before="1600"/>
        <w:jc w:val="center"/>
      </w:pPr>
      <w:r>
        <w:rPr>
          <w:color w:val="777777"/>
          <w:sz w:val="20"/>
          <w:szCs w:val="20"/>
        </w:rPr>
        <w:t xml:space="preserve">과제 10. AI와 함께 쓰는 첫 논문 — 가설에서 결론까지</w:t>
      </w:r>
    </w:p>
    <w:p>
      <w:pPr>
        <w:spacing w:before="1200"/>
        <w:jc w:val="center"/>
      </w:pPr>
      <w:r>
        <w:rPr>
          <w:sz w:val="22"/>
          <w:szCs w:val="22"/>
        </w:rPr>
        <w:t xml:space="preserve">작성자: 김상혁</w:t>
      </w:r>
    </w:p>
    <w:p>
      <w:pPr>
        <w:jc w:val="center"/>
      </w:pPr>
      <w:r>
        <w:rPr>
          <w:sz w:val="22"/>
          <w:szCs w:val="22"/>
        </w:rPr>
        <w:t xml:space="preserve">작성일: 2026-09-16</w:t>
      </w:r>
    </w:p>
    <w:p>
      <w:r>
        <w:br w:type="page"/>
      </w:r>
    </w:p>
    <w:p>
      <w:pPr>
        <w:sectPr>
          <w:pgSz w:w="12240" w:h="15840" w:orient="portrait"/>
          <w:pgMar w:top="1440" w:right="1440" w:bottom="1440" w:left="1440" w:header="708" w:footer="708" w:gutter="0"/>
          <w:pgNumType/>
          <w:docGrid w:linePitch="360"/>
        </w:sectPr>
      </w:pPr>
    </w:p>
    <w:p>
      <w:pPr>
        <w:pStyle w:val="Heading1"/>
        <w:keepNext/>
        <w:keepLines/>
        <w:spacing w:after="200" w:before="400"/>
      </w:pPr>
      <w:r>
        <w:t xml:space="preserve">초록</w:t>
      </w:r>
    </w:p>
    <w:p>
      <w:pPr>
        <w:keepLines/>
        <w:spacing w:after="160"/>
      </w:pPr>
      <w:r>
        <w:t xml:space="preserve">오픈소스 소프트웨어 운영에서는 “기여자가 많을수록 이슈나 버그가 더 빨리 해결된다”는 통념이 널리 퍼져 있다. 본 연구는 이 통념을 CNCF(Cloud Native Computing Foundation) 소속 클라우드 네이티브 프로젝트 10개(Envoy, Prometheus, containerd, etcd, Vitess, CoreDNS, Helm, TiKV, Linkerd, Rook)를 대상으로 실증적으로 검증했다. GitHub REST API를 통해 각 프로젝트의 최근 12개월간 월별 활성 기여자 수와 이슈 평균 처리 시간을 수집했으며(n=120, 결측 1건 제외 시 119건), 피어슨 상관분석과 세 가지 강건성 검증(로그 변환, 이상치 제외, 프로젝트 단위 집계)을 수행했다. 분석 결과 전체 표본에서는 유의한 상관관계가 나타나지 않았고(r=-0.041, p=0.661), 기여자 수가 유독 많은 Envoy를 제외하면 오히려 기여자 수가 많을수록 처리 시간이 길어지는 유의한 양의 상관(r=0.226, p=0.017)이 확인되었다. 이는 “기여자가 많을수록 처리가 빨라진다”는 원래 가설과 반대되는 결과로, 조율 비용 증가 등 대안적 설명이 필요함을 시사한다.</w:t>
      </w:r>
    </w:p>
    <w:p>
      <w:pPr>
        <w:pStyle w:val="Heading1"/>
        <w:keepNext/>
        <w:keepLines/>
        <w:spacing w:after="200" w:before="400"/>
      </w:pPr>
      <w:r>
        <w:t xml:space="preserve">1. 서론</w:t>
      </w:r>
    </w:p>
    <w:p>
      <w:pPr>
        <w:keepLines/>
        <w:spacing w:after="160"/>
      </w:pPr>
      <w:r>
        <w:t xml:space="preserve">오픈소스 소프트웨어 커뮤니티에는 “눈이 충분히 많으면 버그는 얕아진다(Linus's Law)”는 유명한 격언이 있다. 이 격언은 기여자·리뷰어 수가 많을수록 문제 발견과 해결이 빨라진다는 믿음으로 이어져, 실무에서는 종종 기여자 수나 스타 수를 프로젝트 “건강성”의 대리 지표로 사용한다. 그러나 이 관계가 실제 데이터로 얼마나 뒷받침되는지는 프로젝트마다 다르게 보고되어 왔다.</w:t>
      </w:r>
    </w:p>
    <w:p>
      <w:pPr>
        <w:keepLines/>
        <w:spacing w:after="160"/>
      </w:pPr>
      <w:r>
        <w:t xml:space="preserve">선행 연구를 보면, Nguyen Duc 외(2011)는 이해관계자 유형과 협업 정도가 OSS 이슈 처리 시간에 영향을 준다는 직접적 근거를 제시했다. 반면 Ajibode 외(2023)는 6개 머신러닝 라이브러리 중 단 1개(Keras)에서만 기여자 수와 이슈 처리 기간 사이 상관관계를 발견했고, 나머지 4개에서는 뚜렷한 관계가 없었다. Eiroa-Lledo 외(2023)는 프로젝트 규모·성숙도 같은 프로젝트 특성이 버그 해결 시간에 영향을 준다는 일반적 근거를 제공했으며, Sülün 외(2024)는 이슈 템플릿 같은 운영 관행만으로도 해결 시간이 크게(381일→103일) 달라질 수 있음을 보여, 기여자 수 외의 교란 변수가 존재함을 경고했다.</w:t>
      </w:r>
    </w:p>
    <w:p>
      <w:pPr>
        <w:keepLines/>
        <w:spacing w:after="160"/>
      </w:pPr>
      <w:r>
        <w:t xml:space="preserve">이러한 선행 연구들은 대부분 개별 언어 생태계(머신러닝 라이브러리 등)나 일반 오픈소스 저장소를 대상으로 했으며, 클라우드 네이티브 인프라를 다루는 CNCF 생태계에 한정해 “기여자 수 → 이슈 처리 속도” 관계를 검증한 연구는 확인되지 않았다. CNCF는 DevStats라는 공개 데이터 포털을 공식 운영하며 기여자·이슈 지표를 투명하게 공개하고 있어, 이 생태계를 대상으로 한 검증은 실행 가능하면서도 기존 연구의 공백을 채울 수 있는 주제다.</w:t>
      </w:r>
    </w:p>
    <w:p>
      <w:pPr>
        <w:keepLines/>
        <w:spacing w:after="160"/>
      </w:pPr>
      <w:r>
        <w:t xml:space="preserve">이에 본 연구는 다음 가설을 세우고 검증한다: “CNCF 오픈소스 프로젝트는 활성 기여자 수가 많을수록, 이슈가 열린 시점부터 닫히는 시점까지 걸리는 평균 처리 시간이 짧다.”</w:t>
      </w:r>
    </w:p>
    <w:p>
      <w:pPr>
        <w:pStyle w:val="Heading1"/>
        <w:keepNext/>
        <w:keepLines/>
        <w:spacing w:after="200" w:before="400"/>
      </w:pPr>
      <w:r>
        <w:t xml:space="preserve">2. 방법</w:t>
      </w:r>
    </w:p>
    <w:p>
      <w:pPr>
        <w:pStyle w:val="Heading2"/>
        <w:keepNext/>
        <w:keepLines/>
        <w:spacing w:after="150" w:before="300"/>
      </w:pPr>
      <w:r>
        <w:t xml:space="preserve">2.1 분석 대상</w:t>
      </w:r>
    </w:p>
    <w:p>
      <w:pPr>
        <w:keepLines/>
        <w:spacing w:after="160"/>
      </w:pPr>
      <w:r>
        <w:t xml:space="preserve">CNCF Graduated 등급 프로젝트 중, Kubernetes처럼 여러 저장소·SIG(Special Interest Group) 구조로 나뉘어 있어 집계가 복잡한 경우를 제외하고, 단일 대표 저장소를 가진 프로젝트 10개를 규모가 다양하도록 선정했다: Envoy, Prometheus, containerd, etcd, Vitess, CoreDNS, Helm, TiKV, Linkerd, Rook.</w:t>
      </w:r>
    </w:p>
    <w:p>
      <w:pPr>
        <w:pStyle w:val="Heading2"/>
        <w:keepNext/>
        <w:keepLines/>
        <w:spacing w:after="150" w:before="300"/>
      </w:pPr>
      <w:r>
        <w:t xml:space="preserve">2.2 변수 정의 및 데이터 출처</w:t>
      </w:r>
    </w:p>
    <w:p>
      <w:pPr>
        <w:pStyle w:val="ListParagraph"/>
        <w:keepLines/>
        <w:numPr>
          <w:ilvl w:val="0"/>
          <w:numId w:val="1"/>
        </w:numPr>
        <w:spacing w:after="100"/>
      </w:pPr>
      <w:r>
        <w:t xml:space="preserve">활성 기여자 수: 해당 월에 최소 1회 이상 커밋을 남긴 고유 작성자 수 (GitHub REST API의 저장소 커밋 목록에서 산출)</w:t>
      </w:r>
    </w:p>
    <w:p>
      <w:pPr>
        <w:pStyle w:val="ListParagraph"/>
        <w:keepLines/>
        <w:numPr>
          <w:ilvl w:val="0"/>
          <w:numId w:val="1"/>
        </w:numPr>
        <w:spacing w:after="100"/>
      </w:pPr>
      <w:r>
        <w:t xml:space="preserve">이슈 평균 처리 시간: 해당 월에 닫힌 이슈들의 (닫힌 시각 − 생성 시각)을 일 단위로 환산한 값의 평균 (GitHub Search Issues API 사용)</w:t>
      </w:r>
    </w:p>
    <w:p>
      <w:pPr>
        <w:pStyle w:val="ListParagraph"/>
        <w:keepLines/>
        <w:numPr>
          <w:ilvl w:val="0"/>
          <w:numId w:val="1"/>
        </w:numPr>
        <w:spacing w:after="100"/>
      </w:pPr>
      <w:r>
        <w:t xml:space="preserve">관측 기간: 2025-09 – 2026-08 (최근 12개월)</w:t>
      </w:r>
    </w:p>
    <w:p>
      <w:pPr>
        <w:pStyle w:val="ListParagraph"/>
        <w:keepLines/>
        <w:numPr>
          <w:ilvl w:val="0"/>
          <w:numId w:val="1"/>
        </w:numPr>
        <w:spacing w:after="100"/>
      </w:pPr>
      <w:r>
        <w:t xml:space="preserve">데이터 출처: GitHub REST API(api.github.com), 공개 API. 2026년 9월 15일~16일에 실제로 호출하여 수집함</w:t>
      </w:r>
    </w:p>
    <w:p>
      <w:pPr>
        <w:keepLines/>
        <w:spacing w:after="160"/>
      </w:pPr>
      <w:r>
        <w:t xml:space="preserve">데이터는 자체 작성한 Python 스크립트(collect_data.py)로 자동 수집했으며, GitHub API의 속도 제한(rate limit)에 대응하기 위해 재시도·백오프·재개(resume) 로직을 포함했다. 최종 표본 크기는 10개 프로젝트 × 12개월 = 120개 관측치이며, 이 중 1개(CoreDNS, 2026년 2월)는 해당 월에 닫힌 이슈가 0건이어서 평균 처리 시간을 계산할 수 없어 상관분석에서 제외했다(유효 n=119).</w:t>
      </w:r>
    </w:p>
    <w:p>
      <w:pPr>
        <w:pStyle w:val="Heading2"/>
        <w:keepNext/>
        <w:keepLines/>
        <w:spacing w:after="150" w:before="300"/>
      </w:pPr>
      <w:r>
        <w:t xml:space="preserve">2.3 분석 방법</w:t>
      </w:r>
    </w:p>
    <w:p>
      <w:pPr>
        <w:keepLines/>
        <w:spacing w:after="160"/>
      </w:pPr>
      <w:r>
        <w:t xml:space="preserve">활성 기여자 수와 이슈 평균 처리 시간 간의 관계를 피어슨 상관계수(r)로 측정하고, t-근사를 통해 유의확률(p-value)을 계산했다. 원가설이 지지되지 않을 가능성에 대비해, 세 가지 강건성 검증을 추가로 수행했다: (1) 기여자 수가 오른쪽으로 치우친 분포이므로 로그 변환 후 재계산, (2) 기여자 수가 유독 큰 이상치인 Envoy(월 50–97명)를 제외한 재계산, (3) 12개월치를 프로젝트별 평균으로 집계한 10개 관측치로 재계산.</w:t>
      </w:r>
    </w:p>
    <w:p>
      <w:pPr>
        <w:keepLines/>
        <w:spacing w:after="160"/>
      </w:pPr>
      <w:r>
        <w:t xml:space="preserve">가설 기각 기준(사전 설정): 상관계수가 유의수준 0.05에서 통계적으로 유의하지 않거나(p≥0.05), 부호가 가설이 예측한 음(-)의 방향이 아닌 경우 원 가설은 기각된 것으로 판단하기로 사전에 정했다.</w:t>
      </w:r>
    </w:p>
    <w:p>
      <w:pPr>
        <w:keepLines/>
        <w:spacing w:after="160"/>
      </w:pPr>
      <w:r>
        <w:t xml:space="preserve">전체 수집에 앞서, 비인증 상태로 CoreDNS 저장소 2025년 1월 한 달치만으로 스크립트 로직을 시험 실행하여 활성 기여자 수(1명), 닫힌 이슈 수(5건), 평균 처리 시간(20.57일)이 정상적으로 산출되는지 확인한 뒤 전체 수집을 진행했다.</w:t>
      </w:r>
    </w:p>
    <w:p>
      <w:pPr>
        <w:pStyle w:val="Heading2"/>
        <w:keepNext/>
        <w:keepLines/>
        <w:spacing w:after="150" w:before="300"/>
      </w:pPr>
      <w:r>
        <w:t xml:space="preserve">2.4 바꾼 조건과 고정한 조건</w:t>
      </w:r>
    </w:p>
    <w:p>
      <w:pPr>
        <w:pStyle w:val="ListParagraph"/>
        <w:keepLines/>
        <w:numPr>
          <w:ilvl w:val="0"/>
          <w:numId w:val="1"/>
        </w:numPr>
        <w:spacing w:after="100"/>
      </w:pPr>
      <w:r>
        <w:t xml:space="preserve">바꾼 조건 1: 프로젝트 (10개)</w:t>
      </w:r>
    </w:p>
    <w:p>
      <w:pPr>
        <w:pStyle w:val="ListParagraph"/>
        <w:keepLines/>
        <w:numPr>
          <w:ilvl w:val="0"/>
          <w:numId w:val="1"/>
        </w:numPr>
        <w:spacing w:after="100"/>
      </w:pPr>
      <w:r>
        <w:t xml:space="preserve">바꾼 조건 2: 관측 월 (12개월)</w:t>
      </w:r>
    </w:p>
    <w:p>
      <w:pPr>
        <w:pStyle w:val="ListParagraph"/>
        <w:keepLines/>
        <w:numPr>
          <w:ilvl w:val="0"/>
          <w:numId w:val="1"/>
        </w:numPr>
        <w:spacing w:after="100"/>
      </w:pPr>
      <w:r>
        <w:t xml:space="preserve">고정한 조건: 활성 기여자·이슈 처리 시간의 조작적 정의, 데이터 출처(GitHub REST API), 관측 기간의 길이(12개월)</w:t>
      </w:r>
    </w:p>
    <w:p>
      <w:pPr>
        <w:pStyle w:val="Heading1"/>
        <w:keepNext/>
        <w:keepLines/>
        <w:spacing w:after="200" w:before="400"/>
      </w:pPr>
      <w:r>
        <w:t xml:space="preserve">3. 결과</w:t>
      </w:r>
    </w:p>
    <w:p>
      <w:pPr>
        <w:keepLines/>
        <w:spacing w:after="160"/>
      </w:pPr>
      <w:r>
        <w:t xml:space="preserve">표 1은 전체 및 프로젝트별 상관분석 결과를 보여준다.</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700"/>
        <w:gridCol w:w="1600"/>
        <w:gridCol w:w="1600"/>
      </w:tblGrid>
      <w:tr>
        <w:tc>
          <w:tcPr>
            <w:tcW w:type="dxa" w:w="1600"/>
            <w:shd w:fill="D9D9D9" w:val="clear"/>
            <w:vAlign w:val="center"/>
          </w:tcPr>
          <w:p>
            <w:pPr>
              <w:jc w:val="center"/>
            </w:pPr>
            <w:r>
              <w:rPr>
                <w:b/>
                <w:bCs/>
                <w:sz w:val="20"/>
                <w:szCs w:val="20"/>
              </w:rPr>
              <w:t xml:space="preserve">프로젝트</w:t>
            </w:r>
          </w:p>
        </w:tc>
        <w:tc>
          <w:tcPr>
            <w:tcW w:type="dxa" w:w="1300"/>
            <w:shd w:fill="D9D9D9" w:val="clear"/>
            <w:vAlign w:val="center"/>
          </w:tcPr>
          <w:p>
            <w:pPr>
              <w:jc w:val="center"/>
            </w:pPr>
            <w:r>
              <w:rPr>
                <w:b/>
                <w:bCs/>
                <w:sz w:val="20"/>
                <w:szCs w:val="20"/>
              </w:rPr>
              <w:t xml:space="preserve">Pearson r</w:t>
            </w:r>
          </w:p>
        </w:tc>
        <w:tc>
          <w:tcPr>
            <w:tcW w:type="dxa" w:w="1300"/>
            <w:shd w:fill="D9D9D9" w:val="clear"/>
            <w:vAlign w:val="center"/>
          </w:tcPr>
          <w:p>
            <w:pPr>
              <w:jc w:val="center"/>
            </w:pPr>
            <w:r>
              <w:rPr>
                <w:b/>
                <w:bCs/>
                <w:sz w:val="20"/>
                <w:szCs w:val="20"/>
              </w:rPr>
              <w:t xml:space="preserve">p-value</w:t>
            </w:r>
          </w:p>
        </w:tc>
        <w:tc>
          <w:tcPr>
            <w:tcW w:type="dxa" w:w="700"/>
            <w:shd w:fill="D9D9D9" w:val="clear"/>
            <w:vAlign w:val="center"/>
          </w:tcPr>
          <w:p>
            <w:pPr>
              <w:jc w:val="center"/>
            </w:pPr>
            <w:r>
              <w:rPr>
                <w:b/>
                <w:bCs/>
                <w:sz w:val="20"/>
                <w:szCs w:val="20"/>
              </w:rPr>
              <w:t xml:space="preserve">n</w:t>
            </w:r>
          </w:p>
        </w:tc>
        <w:tc>
          <w:tcPr>
            <w:tcW w:type="dxa" w:w="1600"/>
            <w:shd w:fill="D9D9D9" w:val="clear"/>
            <w:vAlign w:val="center"/>
          </w:tcPr>
          <w:p>
            <w:pPr>
              <w:jc w:val="center"/>
            </w:pPr>
            <w:r>
              <w:rPr>
                <w:b/>
                <w:bCs/>
                <w:sz w:val="20"/>
                <w:szCs w:val="20"/>
              </w:rPr>
              <w:t xml:space="preserve">평균 기여자 수</w:t>
            </w:r>
          </w:p>
        </w:tc>
        <w:tc>
          <w:tcPr>
            <w:tcW w:type="dxa" w:w="1600"/>
            <w:shd w:fill="D9D9D9" w:val="clear"/>
            <w:vAlign w:val="center"/>
          </w:tcPr>
          <w:p>
            <w:pPr>
              <w:jc w:val="center"/>
            </w:pPr>
            <w:r>
              <w:rPr>
                <w:b/>
                <w:bCs/>
                <w:sz w:val="20"/>
                <w:szCs w:val="20"/>
              </w:rPr>
              <w:t xml:space="preserve">평균 처리일</w:t>
            </w:r>
          </w:p>
        </w:tc>
      </w:tr>
      <w:tr>
        <w:tc>
          <w:tcPr>
            <w:tcW w:type="dxa" w:w="1600"/>
            <w:vAlign w:val="center"/>
          </w:tcPr>
          <w:p>
            <w:pPr>
              <w:jc w:val="center"/>
            </w:pPr>
            <w:r>
              <w:rPr>
                <w:b w:val="false"/>
                <w:bCs w:val="false"/>
                <w:sz w:val="20"/>
                <w:szCs w:val="20"/>
              </w:rPr>
              <w:t xml:space="preserve">전체(pooled)</w:t>
            </w:r>
          </w:p>
        </w:tc>
        <w:tc>
          <w:tcPr>
            <w:tcW w:type="dxa" w:w="1300"/>
            <w:vAlign w:val="center"/>
          </w:tcPr>
          <w:p>
            <w:pPr>
              <w:jc w:val="center"/>
            </w:pPr>
            <w:r>
              <w:rPr>
                <w:b w:val="false"/>
                <w:bCs w:val="false"/>
                <w:sz w:val="20"/>
                <w:szCs w:val="20"/>
              </w:rPr>
              <w:t xml:space="preserve">-0.041</w:t>
            </w:r>
          </w:p>
        </w:tc>
        <w:tc>
          <w:tcPr>
            <w:tcW w:type="dxa" w:w="1300"/>
            <w:vAlign w:val="center"/>
          </w:tcPr>
          <w:p>
            <w:pPr>
              <w:jc w:val="center"/>
            </w:pPr>
            <w:r>
              <w:rPr>
                <w:b w:val="false"/>
                <w:bCs w:val="false"/>
                <w:sz w:val="20"/>
                <w:szCs w:val="20"/>
              </w:rPr>
              <w:t xml:space="preserve">0.661</w:t>
            </w:r>
          </w:p>
        </w:tc>
        <w:tc>
          <w:tcPr>
            <w:tcW w:type="dxa" w:w="700"/>
            <w:vAlign w:val="center"/>
          </w:tcPr>
          <w:p>
            <w:pPr>
              <w:jc w:val="center"/>
            </w:pPr>
            <w:r>
              <w:rPr>
                <w:b w:val="false"/>
                <w:bCs w:val="false"/>
                <w:sz w:val="20"/>
                <w:szCs w:val="20"/>
              </w:rPr>
              <w:t xml:space="preserve">119</w:t>
            </w:r>
          </w:p>
        </w:tc>
        <w:tc>
          <w:tcPr>
            <w:tcW w:type="dxa" w:w="1600"/>
            <w:vAlign w:val="center"/>
          </w:tcPr>
          <w:p>
            <w:pPr>
              <w:jc w:val="center"/>
            </w:pPr>
            <w:r>
              <w:rPr>
                <w:b w:val="false"/>
                <w:bCs w:val="false"/>
                <w:sz w:val="20"/>
                <w:szCs w:val="20"/>
              </w:rPr>
              <w:t xml:space="preserve">23.9</w:t>
            </w:r>
          </w:p>
        </w:tc>
        <w:tc>
          <w:tcPr>
            <w:tcW w:type="dxa" w:w="1600"/>
            <w:vAlign w:val="center"/>
          </w:tcPr>
          <w:p>
            <w:pPr>
              <w:jc w:val="center"/>
            </w:pPr>
            <w:r>
              <w:rPr>
                <w:b w:val="false"/>
                <w:bCs w:val="false"/>
                <w:sz w:val="20"/>
                <w:szCs w:val="20"/>
              </w:rPr>
              <w:t xml:space="preserve">206.3</w:t>
            </w:r>
          </w:p>
        </w:tc>
      </w:tr>
      <w:tr>
        <w:tc>
          <w:tcPr>
            <w:tcW w:type="dxa" w:w="1600"/>
            <w:vAlign w:val="center"/>
          </w:tcPr>
          <w:p>
            <w:pPr>
              <w:jc w:val="center"/>
            </w:pPr>
            <w:r>
              <w:rPr>
                <w:b w:val="false"/>
                <w:bCs w:val="false"/>
                <w:sz w:val="20"/>
                <w:szCs w:val="20"/>
              </w:rPr>
              <w:t xml:space="preserve">CoreDNS</w:t>
            </w:r>
          </w:p>
        </w:tc>
        <w:tc>
          <w:tcPr>
            <w:tcW w:type="dxa" w:w="1300"/>
            <w:vAlign w:val="center"/>
          </w:tcPr>
          <w:p>
            <w:pPr>
              <w:jc w:val="center"/>
            </w:pPr>
            <w:r>
              <w:rPr>
                <w:b w:val="false"/>
                <w:bCs w:val="false"/>
                <w:sz w:val="20"/>
                <w:szCs w:val="20"/>
              </w:rPr>
              <w:t xml:space="preserve">+0.761</w:t>
            </w:r>
          </w:p>
        </w:tc>
        <w:tc>
          <w:tcPr>
            <w:tcW w:type="dxa" w:w="1300"/>
            <w:vAlign w:val="center"/>
          </w:tcPr>
          <w:p>
            <w:pPr>
              <w:jc w:val="center"/>
            </w:pPr>
            <w:r>
              <w:rPr>
                <w:b w:val="false"/>
                <w:bCs w:val="false"/>
                <w:sz w:val="20"/>
                <w:szCs w:val="20"/>
              </w:rPr>
              <w:t xml:space="preserve">0.000</w:t>
            </w:r>
          </w:p>
        </w:tc>
        <w:tc>
          <w:tcPr>
            <w:tcW w:type="dxa" w:w="700"/>
            <w:vAlign w:val="center"/>
          </w:tcPr>
          <w:p>
            <w:pPr>
              <w:jc w:val="center"/>
            </w:pPr>
            <w:r>
              <w:rPr>
                <w:b w:val="false"/>
                <w:bCs w:val="false"/>
                <w:sz w:val="20"/>
                <w:szCs w:val="20"/>
              </w:rPr>
              <w:t xml:space="preserve">11</w:t>
            </w:r>
          </w:p>
        </w:tc>
        <w:tc>
          <w:tcPr>
            <w:tcW w:type="dxa" w:w="1600"/>
            <w:vAlign w:val="center"/>
          </w:tcPr>
          <w:p>
            <w:pPr>
              <w:jc w:val="center"/>
            </w:pPr>
            <w:r>
              <w:rPr>
                <w:b w:val="false"/>
                <w:bCs w:val="false"/>
                <w:sz w:val="20"/>
                <w:szCs w:val="20"/>
              </w:rPr>
              <w:t xml:space="preserve">12.4</w:t>
            </w:r>
          </w:p>
        </w:tc>
        <w:tc>
          <w:tcPr>
            <w:tcW w:type="dxa" w:w="1600"/>
            <w:vAlign w:val="center"/>
          </w:tcPr>
          <w:p>
            <w:pPr>
              <w:jc w:val="center"/>
            </w:pPr>
            <w:r>
              <w:rPr>
                <w:b w:val="false"/>
                <w:bCs w:val="false"/>
                <w:sz w:val="20"/>
                <w:szCs w:val="20"/>
              </w:rPr>
              <w:t xml:space="preserve">279.8</w:t>
            </w:r>
          </w:p>
        </w:tc>
      </w:tr>
      <w:tr>
        <w:tc>
          <w:tcPr>
            <w:tcW w:type="dxa" w:w="1600"/>
            <w:vAlign w:val="center"/>
          </w:tcPr>
          <w:p>
            <w:pPr>
              <w:jc w:val="center"/>
            </w:pPr>
            <w:r>
              <w:rPr>
                <w:b w:val="false"/>
                <w:bCs w:val="false"/>
                <w:sz w:val="20"/>
                <w:szCs w:val="20"/>
              </w:rPr>
              <w:t xml:space="preserve">etcd</w:t>
            </w:r>
          </w:p>
        </w:tc>
        <w:tc>
          <w:tcPr>
            <w:tcW w:type="dxa" w:w="1300"/>
            <w:vAlign w:val="center"/>
          </w:tcPr>
          <w:p>
            <w:pPr>
              <w:jc w:val="center"/>
            </w:pPr>
            <w:r>
              <w:rPr>
                <w:b w:val="false"/>
                <w:bCs w:val="false"/>
                <w:sz w:val="20"/>
                <w:szCs w:val="20"/>
              </w:rPr>
              <w:t xml:space="preserve">+0.495</w:t>
            </w:r>
          </w:p>
        </w:tc>
        <w:tc>
          <w:tcPr>
            <w:tcW w:type="dxa" w:w="1300"/>
            <w:vAlign w:val="center"/>
          </w:tcPr>
          <w:p>
            <w:pPr>
              <w:jc w:val="center"/>
            </w:pPr>
            <w:r>
              <w:rPr>
                <w:b w:val="false"/>
                <w:bCs w:val="false"/>
                <w:sz w:val="20"/>
                <w:szCs w:val="20"/>
              </w:rPr>
              <w:t xml:space="preserve">0.072</w:t>
            </w:r>
          </w:p>
        </w:tc>
        <w:tc>
          <w:tcPr>
            <w:tcW w:type="dxa" w:w="700"/>
            <w:vAlign w:val="center"/>
          </w:tcPr>
          <w:p>
            <w:pPr>
              <w:jc w:val="center"/>
            </w:pPr>
            <w:r>
              <w:rPr>
                <w:b w:val="false"/>
                <w:bCs w:val="false"/>
                <w:sz w:val="20"/>
                <w:szCs w:val="20"/>
              </w:rPr>
              <w:t xml:space="preserve">12</w:t>
            </w:r>
          </w:p>
        </w:tc>
        <w:tc>
          <w:tcPr>
            <w:tcW w:type="dxa" w:w="1600"/>
            <w:vAlign w:val="center"/>
          </w:tcPr>
          <w:p>
            <w:pPr>
              <w:jc w:val="center"/>
            </w:pPr>
            <w:r>
              <w:rPr>
                <w:b w:val="false"/>
                <w:bCs w:val="false"/>
                <w:sz w:val="20"/>
                <w:szCs w:val="20"/>
              </w:rPr>
              <w:t xml:space="preserve">17.6</w:t>
            </w:r>
          </w:p>
        </w:tc>
        <w:tc>
          <w:tcPr>
            <w:tcW w:type="dxa" w:w="1600"/>
            <w:vAlign w:val="center"/>
          </w:tcPr>
          <w:p>
            <w:pPr>
              <w:jc w:val="center"/>
            </w:pPr>
            <w:r>
              <w:rPr>
                <w:b w:val="false"/>
                <w:bCs w:val="false"/>
                <w:sz w:val="20"/>
                <w:szCs w:val="20"/>
              </w:rPr>
              <w:t xml:space="preserve">291.8</w:t>
            </w:r>
          </w:p>
        </w:tc>
      </w:tr>
      <w:tr>
        <w:tc>
          <w:tcPr>
            <w:tcW w:type="dxa" w:w="1600"/>
            <w:vAlign w:val="center"/>
          </w:tcPr>
          <w:p>
            <w:pPr>
              <w:jc w:val="center"/>
            </w:pPr>
            <w:r>
              <w:rPr>
                <w:b w:val="false"/>
                <w:bCs w:val="false"/>
                <w:sz w:val="20"/>
                <w:szCs w:val="20"/>
              </w:rPr>
              <w:t xml:space="preserve">TiKV</w:t>
            </w:r>
          </w:p>
        </w:tc>
        <w:tc>
          <w:tcPr>
            <w:tcW w:type="dxa" w:w="1300"/>
            <w:vAlign w:val="center"/>
          </w:tcPr>
          <w:p>
            <w:pPr>
              <w:jc w:val="center"/>
            </w:pPr>
            <w:r>
              <w:rPr>
                <w:b w:val="false"/>
                <w:bCs w:val="false"/>
                <w:sz w:val="20"/>
                <w:szCs w:val="20"/>
              </w:rPr>
              <w:t xml:space="preserve">+0.485</w:t>
            </w:r>
          </w:p>
        </w:tc>
        <w:tc>
          <w:tcPr>
            <w:tcW w:type="dxa" w:w="1300"/>
            <w:vAlign w:val="center"/>
          </w:tcPr>
          <w:p>
            <w:pPr>
              <w:jc w:val="center"/>
            </w:pPr>
            <w:r>
              <w:rPr>
                <w:b w:val="false"/>
                <w:bCs w:val="false"/>
                <w:sz w:val="20"/>
                <w:szCs w:val="20"/>
              </w:rPr>
              <w:t xml:space="preserve">0.080</w:t>
            </w:r>
          </w:p>
        </w:tc>
        <w:tc>
          <w:tcPr>
            <w:tcW w:type="dxa" w:w="700"/>
            <w:vAlign w:val="center"/>
          </w:tcPr>
          <w:p>
            <w:pPr>
              <w:jc w:val="center"/>
            </w:pPr>
            <w:r>
              <w:rPr>
                <w:b w:val="false"/>
                <w:bCs w:val="false"/>
                <w:sz w:val="20"/>
                <w:szCs w:val="20"/>
              </w:rPr>
              <w:t xml:space="preserve">12</w:t>
            </w:r>
          </w:p>
        </w:tc>
        <w:tc>
          <w:tcPr>
            <w:tcW w:type="dxa" w:w="1600"/>
            <w:vAlign w:val="center"/>
          </w:tcPr>
          <w:p>
            <w:pPr>
              <w:jc w:val="center"/>
            </w:pPr>
            <w:r>
              <w:rPr>
                <w:b w:val="false"/>
                <w:bCs w:val="false"/>
                <w:sz w:val="20"/>
                <w:szCs w:val="20"/>
              </w:rPr>
              <w:t xml:space="preserve">12.7</w:t>
            </w:r>
          </w:p>
        </w:tc>
        <w:tc>
          <w:tcPr>
            <w:tcW w:type="dxa" w:w="1600"/>
            <w:vAlign w:val="center"/>
          </w:tcPr>
          <w:p>
            <w:pPr>
              <w:jc w:val="center"/>
            </w:pPr>
            <w:r>
              <w:rPr>
                <w:b w:val="false"/>
                <w:bCs w:val="false"/>
                <w:sz w:val="20"/>
                <w:szCs w:val="20"/>
              </w:rPr>
              <w:t xml:space="preserve">67.9</w:t>
            </w:r>
          </w:p>
        </w:tc>
      </w:tr>
      <w:tr>
        <w:tc>
          <w:tcPr>
            <w:tcW w:type="dxa" w:w="1600"/>
            <w:vAlign w:val="center"/>
          </w:tcPr>
          <w:p>
            <w:pPr>
              <w:jc w:val="center"/>
            </w:pPr>
            <w:r>
              <w:rPr>
                <w:b w:val="false"/>
                <w:bCs w:val="false"/>
                <w:sz w:val="20"/>
                <w:szCs w:val="20"/>
              </w:rPr>
              <w:t xml:space="preserve">Prometheus</w:t>
            </w:r>
          </w:p>
        </w:tc>
        <w:tc>
          <w:tcPr>
            <w:tcW w:type="dxa" w:w="1300"/>
            <w:vAlign w:val="center"/>
          </w:tcPr>
          <w:p>
            <w:pPr>
              <w:jc w:val="center"/>
            </w:pPr>
            <w:r>
              <w:rPr>
                <w:b w:val="false"/>
                <w:bCs w:val="false"/>
                <w:sz w:val="20"/>
                <w:szCs w:val="20"/>
              </w:rPr>
              <w:t xml:space="preserve">+0.234</w:t>
            </w:r>
          </w:p>
        </w:tc>
        <w:tc>
          <w:tcPr>
            <w:tcW w:type="dxa" w:w="1300"/>
            <w:vAlign w:val="center"/>
          </w:tcPr>
          <w:p>
            <w:pPr>
              <w:jc w:val="center"/>
            </w:pPr>
            <w:r>
              <w:rPr>
                <w:b w:val="false"/>
                <w:bCs w:val="false"/>
                <w:sz w:val="20"/>
                <w:szCs w:val="20"/>
              </w:rPr>
              <w:t xml:space="preserve">0.447</w:t>
            </w:r>
          </w:p>
        </w:tc>
        <w:tc>
          <w:tcPr>
            <w:tcW w:type="dxa" w:w="700"/>
            <w:vAlign w:val="center"/>
          </w:tcPr>
          <w:p>
            <w:pPr>
              <w:jc w:val="center"/>
            </w:pPr>
            <w:r>
              <w:rPr>
                <w:b w:val="false"/>
                <w:bCs w:val="false"/>
                <w:sz w:val="20"/>
                <w:szCs w:val="20"/>
              </w:rPr>
              <w:t xml:space="preserve">12</w:t>
            </w:r>
          </w:p>
        </w:tc>
        <w:tc>
          <w:tcPr>
            <w:tcW w:type="dxa" w:w="1600"/>
            <w:vAlign w:val="center"/>
          </w:tcPr>
          <w:p>
            <w:pPr>
              <w:jc w:val="center"/>
            </w:pPr>
            <w:r>
              <w:rPr>
                <w:b w:val="false"/>
                <w:bCs w:val="false"/>
                <w:sz w:val="20"/>
                <w:szCs w:val="20"/>
              </w:rPr>
              <w:t xml:space="preserve">39.8</w:t>
            </w:r>
          </w:p>
        </w:tc>
        <w:tc>
          <w:tcPr>
            <w:tcW w:type="dxa" w:w="1600"/>
            <w:vAlign w:val="center"/>
          </w:tcPr>
          <w:p>
            <w:pPr>
              <w:jc w:val="center"/>
            </w:pPr>
            <w:r>
              <w:rPr>
                <w:b w:val="false"/>
                <w:bCs w:val="false"/>
                <w:sz w:val="20"/>
                <w:szCs w:val="20"/>
              </w:rPr>
              <w:t xml:space="preserve">292.7</w:t>
            </w:r>
          </w:p>
        </w:tc>
      </w:tr>
      <w:tr>
        <w:tc>
          <w:tcPr>
            <w:tcW w:type="dxa" w:w="1600"/>
            <w:vAlign w:val="center"/>
          </w:tcPr>
          <w:p>
            <w:pPr>
              <w:jc w:val="center"/>
            </w:pPr>
            <w:r>
              <w:rPr>
                <w:b w:val="false"/>
                <w:bCs w:val="false"/>
                <w:sz w:val="20"/>
                <w:szCs w:val="20"/>
              </w:rPr>
              <w:t xml:space="preserve">Rook</w:t>
            </w:r>
          </w:p>
        </w:tc>
        <w:tc>
          <w:tcPr>
            <w:tcW w:type="dxa" w:w="1300"/>
            <w:vAlign w:val="center"/>
          </w:tcPr>
          <w:p>
            <w:pPr>
              <w:jc w:val="center"/>
            </w:pPr>
            <w:r>
              <w:rPr>
                <w:b w:val="false"/>
                <w:bCs w:val="false"/>
                <w:sz w:val="20"/>
                <w:szCs w:val="20"/>
              </w:rPr>
              <w:t xml:space="preserve">+0.088</w:t>
            </w:r>
          </w:p>
        </w:tc>
        <w:tc>
          <w:tcPr>
            <w:tcW w:type="dxa" w:w="1300"/>
            <w:vAlign w:val="center"/>
          </w:tcPr>
          <w:p>
            <w:pPr>
              <w:jc w:val="center"/>
            </w:pPr>
            <w:r>
              <w:rPr>
                <w:b w:val="false"/>
                <w:bCs w:val="false"/>
                <w:sz w:val="20"/>
                <w:szCs w:val="20"/>
              </w:rPr>
              <w:t xml:space="preserve">0.780</w:t>
            </w:r>
          </w:p>
        </w:tc>
        <w:tc>
          <w:tcPr>
            <w:tcW w:type="dxa" w:w="700"/>
            <w:vAlign w:val="center"/>
          </w:tcPr>
          <w:p>
            <w:pPr>
              <w:jc w:val="center"/>
            </w:pPr>
            <w:r>
              <w:rPr>
                <w:b w:val="false"/>
                <w:bCs w:val="false"/>
                <w:sz w:val="20"/>
                <w:szCs w:val="20"/>
              </w:rPr>
              <w:t xml:space="preserve">12</w:t>
            </w:r>
          </w:p>
        </w:tc>
        <w:tc>
          <w:tcPr>
            <w:tcW w:type="dxa" w:w="1600"/>
            <w:vAlign w:val="center"/>
          </w:tcPr>
          <w:p>
            <w:pPr>
              <w:jc w:val="center"/>
            </w:pPr>
            <w:r>
              <w:rPr>
                <w:b w:val="false"/>
                <w:bCs w:val="false"/>
                <w:sz w:val="20"/>
                <w:szCs w:val="20"/>
              </w:rPr>
              <w:t xml:space="preserve">17.7</w:t>
            </w:r>
          </w:p>
        </w:tc>
        <w:tc>
          <w:tcPr>
            <w:tcW w:type="dxa" w:w="1600"/>
            <w:vAlign w:val="center"/>
          </w:tcPr>
          <w:p>
            <w:pPr>
              <w:jc w:val="center"/>
            </w:pPr>
            <w:r>
              <w:rPr>
                <w:b w:val="false"/>
                <w:bCs w:val="false"/>
                <w:sz w:val="20"/>
                <w:szCs w:val="20"/>
              </w:rPr>
              <w:t xml:space="preserve">124.4</w:t>
            </w:r>
          </w:p>
        </w:tc>
      </w:tr>
      <w:tr>
        <w:tc>
          <w:tcPr>
            <w:tcW w:type="dxa" w:w="1600"/>
            <w:vAlign w:val="center"/>
          </w:tcPr>
          <w:p>
            <w:pPr>
              <w:jc w:val="center"/>
            </w:pPr>
            <w:r>
              <w:rPr>
                <w:b w:val="false"/>
                <w:bCs w:val="false"/>
                <w:sz w:val="20"/>
                <w:szCs w:val="20"/>
              </w:rPr>
              <w:t xml:space="preserve">Envoy</w:t>
            </w:r>
          </w:p>
        </w:tc>
        <w:tc>
          <w:tcPr>
            <w:tcW w:type="dxa" w:w="1300"/>
            <w:vAlign w:val="center"/>
          </w:tcPr>
          <w:p>
            <w:pPr>
              <w:jc w:val="center"/>
            </w:pPr>
            <w:r>
              <w:rPr>
                <w:b w:val="false"/>
                <w:bCs w:val="false"/>
                <w:sz w:val="20"/>
                <w:szCs w:val="20"/>
              </w:rPr>
              <w:t xml:space="preserve">+0.024</w:t>
            </w:r>
          </w:p>
        </w:tc>
        <w:tc>
          <w:tcPr>
            <w:tcW w:type="dxa" w:w="1300"/>
            <w:vAlign w:val="center"/>
          </w:tcPr>
          <w:p>
            <w:pPr>
              <w:jc w:val="center"/>
            </w:pPr>
            <w:r>
              <w:rPr>
                <w:b w:val="false"/>
                <w:bCs w:val="false"/>
                <w:sz w:val="20"/>
                <w:szCs w:val="20"/>
              </w:rPr>
              <w:t xml:space="preserve">0.940</w:t>
            </w:r>
          </w:p>
        </w:tc>
        <w:tc>
          <w:tcPr>
            <w:tcW w:type="dxa" w:w="700"/>
            <w:vAlign w:val="center"/>
          </w:tcPr>
          <w:p>
            <w:pPr>
              <w:jc w:val="center"/>
            </w:pPr>
            <w:r>
              <w:rPr>
                <w:b w:val="false"/>
                <w:bCs w:val="false"/>
                <w:sz w:val="20"/>
                <w:szCs w:val="20"/>
              </w:rPr>
              <w:t xml:space="preserve">12</w:t>
            </w:r>
          </w:p>
        </w:tc>
        <w:tc>
          <w:tcPr>
            <w:tcW w:type="dxa" w:w="1600"/>
            <w:vAlign w:val="center"/>
          </w:tcPr>
          <w:p>
            <w:pPr>
              <w:jc w:val="center"/>
            </w:pPr>
            <w:r>
              <w:rPr>
                <w:b w:val="false"/>
                <w:bCs w:val="false"/>
                <w:sz w:val="20"/>
                <w:szCs w:val="20"/>
              </w:rPr>
              <w:t xml:space="preserve">68.5</w:t>
            </w:r>
          </w:p>
        </w:tc>
        <w:tc>
          <w:tcPr>
            <w:tcW w:type="dxa" w:w="1600"/>
            <w:vAlign w:val="center"/>
          </w:tcPr>
          <w:p>
            <w:pPr>
              <w:jc w:val="center"/>
            </w:pPr>
            <w:r>
              <w:rPr>
                <w:b w:val="false"/>
                <w:bCs w:val="false"/>
                <w:sz w:val="20"/>
                <w:szCs w:val="20"/>
              </w:rPr>
              <w:t xml:space="preserve">113.5</w:t>
            </w:r>
          </w:p>
        </w:tc>
      </w:tr>
      <w:tr>
        <w:tc>
          <w:tcPr>
            <w:tcW w:type="dxa" w:w="1600"/>
            <w:vAlign w:val="center"/>
          </w:tcPr>
          <w:p>
            <w:pPr>
              <w:jc w:val="center"/>
            </w:pPr>
            <w:r>
              <w:rPr>
                <w:b w:val="false"/>
                <w:bCs w:val="false"/>
                <w:sz w:val="20"/>
                <w:szCs w:val="20"/>
              </w:rPr>
              <w:t xml:space="preserve">Linkerd</w:t>
            </w:r>
          </w:p>
        </w:tc>
        <w:tc>
          <w:tcPr>
            <w:tcW w:type="dxa" w:w="1300"/>
            <w:vAlign w:val="center"/>
          </w:tcPr>
          <w:p>
            <w:pPr>
              <w:jc w:val="center"/>
            </w:pPr>
            <w:r>
              <w:rPr>
                <w:b w:val="false"/>
                <w:bCs w:val="false"/>
                <w:sz w:val="20"/>
                <w:szCs w:val="20"/>
              </w:rPr>
              <w:t xml:space="preserve">-0.008</w:t>
            </w:r>
          </w:p>
        </w:tc>
        <w:tc>
          <w:tcPr>
            <w:tcW w:type="dxa" w:w="1300"/>
            <w:vAlign w:val="center"/>
          </w:tcPr>
          <w:p>
            <w:pPr>
              <w:jc w:val="center"/>
            </w:pPr>
            <w:r>
              <w:rPr>
                <w:b w:val="false"/>
                <w:bCs w:val="false"/>
                <w:sz w:val="20"/>
                <w:szCs w:val="20"/>
              </w:rPr>
              <w:t xml:space="preserve">0.979</w:t>
            </w:r>
          </w:p>
        </w:tc>
        <w:tc>
          <w:tcPr>
            <w:tcW w:type="dxa" w:w="700"/>
            <w:vAlign w:val="center"/>
          </w:tcPr>
          <w:p>
            <w:pPr>
              <w:jc w:val="center"/>
            </w:pPr>
            <w:r>
              <w:rPr>
                <w:b w:val="false"/>
                <w:bCs w:val="false"/>
                <w:sz w:val="20"/>
                <w:szCs w:val="20"/>
              </w:rPr>
              <w:t xml:space="preserve">12</w:t>
            </w:r>
          </w:p>
        </w:tc>
        <w:tc>
          <w:tcPr>
            <w:tcW w:type="dxa" w:w="1600"/>
            <w:vAlign w:val="center"/>
          </w:tcPr>
          <w:p>
            <w:pPr>
              <w:jc w:val="center"/>
            </w:pPr>
            <w:r>
              <w:rPr>
                <w:b w:val="false"/>
                <w:bCs w:val="false"/>
                <w:sz w:val="20"/>
                <w:szCs w:val="20"/>
              </w:rPr>
              <w:t xml:space="preserve">8.1</w:t>
            </w:r>
          </w:p>
        </w:tc>
        <w:tc>
          <w:tcPr>
            <w:tcW w:type="dxa" w:w="1600"/>
            <w:vAlign w:val="center"/>
          </w:tcPr>
          <w:p>
            <w:pPr>
              <w:jc w:val="center"/>
            </w:pPr>
            <w:r>
              <w:rPr>
                <w:b w:val="false"/>
                <w:bCs w:val="false"/>
                <w:sz w:val="20"/>
                <w:szCs w:val="20"/>
              </w:rPr>
              <w:t xml:space="preserve">244.9</w:t>
            </w:r>
          </w:p>
        </w:tc>
      </w:tr>
      <w:tr>
        <w:tc>
          <w:tcPr>
            <w:tcW w:type="dxa" w:w="1600"/>
            <w:vAlign w:val="center"/>
          </w:tcPr>
          <w:p>
            <w:pPr>
              <w:jc w:val="center"/>
            </w:pPr>
            <w:r>
              <w:rPr>
                <w:b w:val="false"/>
                <w:bCs w:val="false"/>
                <w:sz w:val="20"/>
                <w:szCs w:val="20"/>
              </w:rPr>
              <w:t xml:space="preserve">containerd</w:t>
            </w:r>
          </w:p>
        </w:tc>
        <w:tc>
          <w:tcPr>
            <w:tcW w:type="dxa" w:w="1300"/>
            <w:vAlign w:val="center"/>
          </w:tcPr>
          <w:p>
            <w:pPr>
              <w:jc w:val="center"/>
            </w:pPr>
            <w:r>
              <w:rPr>
                <w:b w:val="false"/>
                <w:bCs w:val="false"/>
                <w:sz w:val="20"/>
                <w:szCs w:val="20"/>
              </w:rPr>
              <w:t xml:space="preserve">-0.160</w:t>
            </w:r>
          </w:p>
        </w:tc>
        <w:tc>
          <w:tcPr>
            <w:tcW w:type="dxa" w:w="1300"/>
            <w:vAlign w:val="center"/>
          </w:tcPr>
          <w:p>
            <w:pPr>
              <w:jc w:val="center"/>
            </w:pPr>
            <w:r>
              <w:rPr>
                <w:b w:val="false"/>
                <w:bCs w:val="false"/>
                <w:sz w:val="20"/>
                <w:szCs w:val="20"/>
              </w:rPr>
              <w:t xml:space="preserve">0.609</w:t>
            </w:r>
          </w:p>
        </w:tc>
        <w:tc>
          <w:tcPr>
            <w:tcW w:type="dxa" w:w="700"/>
            <w:vAlign w:val="center"/>
          </w:tcPr>
          <w:p>
            <w:pPr>
              <w:jc w:val="center"/>
            </w:pPr>
            <w:r>
              <w:rPr>
                <w:b w:val="false"/>
                <w:bCs w:val="false"/>
                <w:sz w:val="20"/>
                <w:szCs w:val="20"/>
              </w:rPr>
              <w:t xml:space="preserve">12</w:t>
            </w:r>
          </w:p>
        </w:tc>
        <w:tc>
          <w:tcPr>
            <w:tcW w:type="dxa" w:w="1600"/>
            <w:vAlign w:val="center"/>
          </w:tcPr>
          <w:p>
            <w:pPr>
              <w:jc w:val="center"/>
            </w:pPr>
            <w:r>
              <w:rPr>
                <w:b w:val="false"/>
                <w:bCs w:val="false"/>
                <w:sz w:val="20"/>
                <w:szCs w:val="20"/>
              </w:rPr>
              <w:t xml:space="preserve">25.9</w:t>
            </w:r>
          </w:p>
        </w:tc>
        <w:tc>
          <w:tcPr>
            <w:tcW w:type="dxa" w:w="1600"/>
            <w:vAlign w:val="center"/>
          </w:tcPr>
          <w:p>
            <w:pPr>
              <w:jc w:val="center"/>
            </w:pPr>
            <w:r>
              <w:rPr>
                <w:b w:val="false"/>
                <w:bCs w:val="false"/>
                <w:sz w:val="20"/>
                <w:szCs w:val="20"/>
              </w:rPr>
              <w:t xml:space="preserve">255.6</w:t>
            </w:r>
          </w:p>
        </w:tc>
      </w:tr>
      <w:tr>
        <w:tc>
          <w:tcPr>
            <w:tcW w:type="dxa" w:w="1600"/>
            <w:vAlign w:val="center"/>
          </w:tcPr>
          <w:p>
            <w:pPr>
              <w:jc w:val="center"/>
            </w:pPr>
            <w:r>
              <w:rPr>
                <w:b w:val="false"/>
                <w:bCs w:val="false"/>
                <w:sz w:val="20"/>
                <w:szCs w:val="20"/>
              </w:rPr>
              <w:t xml:space="preserve">Helm</w:t>
            </w:r>
          </w:p>
        </w:tc>
        <w:tc>
          <w:tcPr>
            <w:tcW w:type="dxa" w:w="1300"/>
            <w:vAlign w:val="center"/>
          </w:tcPr>
          <w:p>
            <w:pPr>
              <w:jc w:val="center"/>
            </w:pPr>
            <w:r>
              <w:rPr>
                <w:b w:val="false"/>
                <w:bCs w:val="false"/>
                <w:sz w:val="20"/>
                <w:szCs w:val="20"/>
              </w:rPr>
              <w:t xml:space="preserve">-0.213</w:t>
            </w:r>
          </w:p>
        </w:tc>
        <w:tc>
          <w:tcPr>
            <w:tcW w:type="dxa" w:w="1300"/>
            <w:vAlign w:val="center"/>
          </w:tcPr>
          <w:p>
            <w:pPr>
              <w:jc w:val="center"/>
            </w:pPr>
            <w:r>
              <w:rPr>
                <w:b w:val="false"/>
                <w:bCs w:val="false"/>
                <w:sz w:val="20"/>
                <w:szCs w:val="20"/>
              </w:rPr>
              <w:t xml:space="preserve">0.491</w:t>
            </w:r>
          </w:p>
        </w:tc>
        <w:tc>
          <w:tcPr>
            <w:tcW w:type="dxa" w:w="700"/>
            <w:vAlign w:val="center"/>
          </w:tcPr>
          <w:p>
            <w:pPr>
              <w:jc w:val="center"/>
            </w:pPr>
            <w:r>
              <w:rPr>
                <w:b w:val="false"/>
                <w:bCs w:val="false"/>
                <w:sz w:val="20"/>
                <w:szCs w:val="20"/>
              </w:rPr>
              <w:t xml:space="preserve">12</w:t>
            </w:r>
          </w:p>
        </w:tc>
        <w:tc>
          <w:tcPr>
            <w:tcW w:type="dxa" w:w="1600"/>
            <w:vAlign w:val="center"/>
          </w:tcPr>
          <w:p>
            <w:pPr>
              <w:jc w:val="center"/>
            </w:pPr>
            <w:r>
              <w:rPr>
                <w:b w:val="false"/>
                <w:bCs w:val="false"/>
                <w:sz w:val="20"/>
                <w:szCs w:val="20"/>
              </w:rPr>
              <w:t xml:space="preserve">18.2</w:t>
            </w:r>
          </w:p>
        </w:tc>
        <w:tc>
          <w:tcPr>
            <w:tcW w:type="dxa" w:w="1600"/>
            <w:vAlign w:val="center"/>
          </w:tcPr>
          <w:p>
            <w:pPr>
              <w:jc w:val="center"/>
            </w:pPr>
            <w:r>
              <w:rPr>
                <w:b w:val="false"/>
                <w:bCs w:val="false"/>
                <w:sz w:val="20"/>
                <w:szCs w:val="20"/>
              </w:rPr>
              <w:t xml:space="preserve">254.7</w:t>
            </w:r>
          </w:p>
        </w:tc>
      </w:tr>
      <w:tr>
        <w:tc>
          <w:tcPr>
            <w:tcW w:type="dxa" w:w="1600"/>
            <w:vAlign w:val="center"/>
          </w:tcPr>
          <w:p>
            <w:pPr>
              <w:jc w:val="center"/>
            </w:pPr>
            <w:r>
              <w:rPr>
                <w:b w:val="false"/>
                <w:bCs w:val="false"/>
                <w:sz w:val="20"/>
                <w:szCs w:val="20"/>
              </w:rPr>
              <w:t xml:space="preserve">Vitess</w:t>
            </w:r>
          </w:p>
        </w:tc>
        <w:tc>
          <w:tcPr>
            <w:tcW w:type="dxa" w:w="1300"/>
            <w:vAlign w:val="center"/>
          </w:tcPr>
          <w:p>
            <w:pPr>
              <w:jc w:val="center"/>
            </w:pPr>
            <w:r>
              <w:rPr>
                <w:b w:val="false"/>
                <w:bCs w:val="false"/>
                <w:sz w:val="20"/>
                <w:szCs w:val="20"/>
              </w:rPr>
              <w:t xml:space="preserve">-0.254</w:t>
            </w:r>
          </w:p>
        </w:tc>
        <w:tc>
          <w:tcPr>
            <w:tcW w:type="dxa" w:w="1300"/>
            <w:vAlign w:val="center"/>
          </w:tcPr>
          <w:p>
            <w:pPr>
              <w:jc w:val="center"/>
            </w:pPr>
            <w:r>
              <w:rPr>
                <w:b w:val="false"/>
                <w:bCs w:val="false"/>
                <w:sz w:val="20"/>
                <w:szCs w:val="20"/>
              </w:rPr>
              <w:t xml:space="preserve">0.406</w:t>
            </w:r>
          </w:p>
        </w:tc>
        <w:tc>
          <w:tcPr>
            <w:tcW w:type="dxa" w:w="700"/>
            <w:vAlign w:val="center"/>
          </w:tcPr>
          <w:p>
            <w:pPr>
              <w:jc w:val="center"/>
            </w:pPr>
            <w:r>
              <w:rPr>
                <w:b w:val="false"/>
                <w:bCs w:val="false"/>
                <w:sz w:val="20"/>
                <w:szCs w:val="20"/>
              </w:rPr>
              <w:t xml:space="preserve">12</w:t>
            </w:r>
          </w:p>
        </w:tc>
        <w:tc>
          <w:tcPr>
            <w:tcW w:type="dxa" w:w="1600"/>
            <w:vAlign w:val="center"/>
          </w:tcPr>
          <w:p>
            <w:pPr>
              <w:jc w:val="center"/>
            </w:pPr>
            <w:r>
              <w:rPr>
                <w:b w:val="false"/>
                <w:bCs w:val="false"/>
                <w:sz w:val="20"/>
                <w:szCs w:val="20"/>
              </w:rPr>
              <w:t xml:space="preserve">16.9</w:t>
            </w:r>
          </w:p>
        </w:tc>
        <w:tc>
          <w:tcPr>
            <w:tcW w:type="dxa" w:w="1600"/>
            <w:vAlign w:val="center"/>
          </w:tcPr>
          <w:p>
            <w:pPr>
              <w:jc w:val="center"/>
            </w:pPr>
            <w:r>
              <w:rPr>
                <w:b w:val="false"/>
                <w:bCs w:val="false"/>
                <w:sz w:val="20"/>
                <w:szCs w:val="20"/>
              </w:rPr>
              <w:t xml:space="preserve">143.4</w:t>
            </w:r>
          </w:p>
        </w:tc>
      </w:tr>
    </w:tbl>
    <w:p>
      <w:pPr>
        <w:spacing w:after="200"/>
      </w:pPr>
    </w:p>
    <w:p>
      <w:pPr>
        <w:keepLines/>
        <w:spacing w:after="160"/>
      </w:pPr>
      <w:r>
        <w:t xml:space="preserve">전체 표본(n=119)에서는 통계적으로 유의한 상관관계가 나타나지 않았다(r=-0.041, p=0.661). 프로젝트별로 보면 4개 프로젝트(Vitess, Helm, containerd, Linkerd)는 가설이 예측한 음의 상관 방향을 보였으나 모두 유의하지 않았다(p&gt;0.4). 반대로 6개 프로젝트(CoreDNS, etcd, TiKV, Prometheus, Rook, Envoy)는 양의 상관, 즉 가설과 반대 방향을 보였고, 이 중 CoreDNS는 매우 강하고 뚜렷하게 유의했다(r=+0.761, p&lt;0.001). etcd(r=+0.495, p=0.072)와 TiKV(r=+0.485, p=0.080)도 유의 수준(0.05)에 근접한 양의 상관을 보였다.</w:t>
      </w:r>
    </w:p>
    <w:p>
      <w:pPr>
        <w:keepLines/>
        <w:spacing w:after="160"/>
      </w:pPr>
      <w:r>
        <w:t xml:space="preserve">그림 1은 전체 관측치의 산점도로, x축은 월별 활성 기여자 수, y축은 월별 이슈 평균 처리일이다.</w:t>
      </w:r>
    </w:p>
    <w:p>
      <w:pPr>
        <w:keepNext/>
        <w:spacing w:after="100" w:before="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29000"/>
                    </a:xfrm>
                    <a:prstGeom prst="rect">
                      <a:avLst/>
                    </a:prstGeom>
                  </pic:spPr>
                </pic:pic>
              </a:graphicData>
            </a:graphic>
          </wp:inline>
        </w:drawing>
      </w:r>
    </w:p>
    <w:p>
      <w:pPr>
        <w:keepLines/>
        <w:spacing w:after="300"/>
        <w:jc w:val="center"/>
      </w:pPr>
      <w:r>
        <w:rPr>
          <w:i/>
          <w:iCs/>
          <w:sz w:val="18"/>
          <w:szCs w:val="18"/>
        </w:rPr>
        <w:t xml:space="preserve">그림 1. CNCF 프로젝트별 활성 기여자 수와 이슈 평균 처리 시간의 관계</w:t>
      </w:r>
    </w:p>
    <w:p>
      <w:pPr>
        <w:keepLines/>
        <w:spacing w:after="160"/>
      </w:pPr>
      <w:r>
        <w:t xml:space="preserve">강건성 검증 결과는 다음과 같다:</w:t>
      </w:r>
    </w:p>
    <w:p>
      <w:pPr>
        <w:pStyle w:val="ListParagraph"/>
        <w:keepLines/>
        <w:numPr>
          <w:ilvl w:val="0"/>
          <w:numId w:val="1"/>
        </w:numPr>
        <w:spacing w:after="100"/>
      </w:pPr>
      <w:r>
        <w:t xml:space="preserve">로그 변환: r=0.026, p=0.780 → 여전히 관계 없음</w:t>
      </w:r>
    </w:p>
    <w:p>
      <w:pPr>
        <w:pStyle w:val="ListParagraph"/>
        <w:keepLines/>
        <w:numPr>
          <w:ilvl w:val="0"/>
          <w:numId w:val="1"/>
        </w:numPr>
        <w:spacing w:after="100"/>
      </w:pPr>
      <w:r>
        <w:t xml:space="preserve">Envoy 제외 재계산: r=+0.226, p=0.017 → 유의한 양의 상관(가설과 반대 방향)으로 전환</w:t>
      </w:r>
    </w:p>
    <w:p>
      <w:pPr>
        <w:pStyle w:val="ListParagraph"/>
        <w:keepLines/>
        <w:numPr>
          <w:ilvl w:val="0"/>
          <w:numId w:val="1"/>
        </w:numPr>
        <w:spacing w:after="100"/>
      </w:pPr>
      <w:r>
        <w:t xml:space="preserve">프로젝트별 평균 집계(n=10): r=-0.178, p=0.610 → 방향은 가설과 같으나 표본 부족으로 유의하지 않음</w:t>
      </w:r>
    </w:p>
    <w:p>
      <w:pPr>
        <w:pStyle w:val="Heading1"/>
        <w:keepNext/>
        <w:keepLines/>
        <w:spacing w:after="200" w:before="400"/>
      </w:pPr>
      <w:r>
        <w:t xml:space="preserve">4. 논의</w:t>
      </w:r>
    </w:p>
    <w:p>
      <w:pPr>
        <w:pStyle w:val="Heading2"/>
        <w:keepNext/>
        <w:keepLines/>
        <w:spacing w:after="150" w:before="300"/>
      </w:pPr>
      <w:r>
        <w:t xml:space="preserve">4.1 가설 검증 결과</w:t>
      </w:r>
    </w:p>
    <w:p>
      <w:pPr>
        <w:keepLines/>
        <w:spacing w:after="160"/>
      </w:pPr>
      <w:r>
        <w:t xml:space="preserve">본 연구의 가설, “활성 기여자 수가 많을수록 이슈 평균 처리 시간이 짧다”는 수집한 CNCF 10개 프로젝트 표본에서 지지되지 않았다. 오히려 극단값(Envoy)을 제외하면 통계적으로 유의한 반대 방향의 관계가 나타났으며, 개별 프로젝트 중에서도 유일하게 강하게 유의했던 CoreDNS 역시 반대 방향이었다. 따라서 가설을 데이터에 맞춰 수정하지 않고, 원래 문장 그대로 기각(reject)하는 것이 타당하다고 판단했다.</w:t>
      </w:r>
    </w:p>
    <w:p>
      <w:pPr>
        <w:pStyle w:val="Heading2"/>
        <w:keepNext/>
        <w:keepLines/>
        <w:spacing w:after="150" w:before="300"/>
      </w:pPr>
      <w:r>
        <w:t xml:space="preserve">4.2 반대 방향으로 나타난 이유에 대한 대안 설명</w:t>
      </w:r>
    </w:p>
    <w:p>
      <w:pPr>
        <w:keepLines/>
        <w:spacing w:after="160"/>
      </w:pPr>
      <w:r>
        <w:t xml:space="preserve">결과를 억지로 가설에 끼워 맞추기보다, 선행 연구에 근거한 대안 설명을 검토했다. 첫째, Sülün 외(2024)가 보인 것처럼 이슈 템플릿·트리아지 체계 같은 운영 관행 차이가 처리 시간을 크게 좌우할 수 있는데, 본 연구는 이 변수를 통제하지 못했다. 기여자가 늘어난 만큼 조율 비용(coordination overhead)이 함께 늘어 처리가 오히려 늦어졌을 가능성이 있다. 둘째, Eiroa-Lledo 외(2023)가 지적한 프로젝트 규모·이슈 복잡도 차이도 원인이 될 수 있다. Envoy처럼 기여자 수 자체가 매우 큰 프로젝트는 기업 소속 상근 인력의 비중이 높아 “기여자 수”가 갖는 의미가 자원봉사자 중심 프로젝트와 다를 수 있다. 셋째, Ajibode 외(2023)가 6개 라이브러리 중 1개에서만 상관관계를 발견했듯, 이번 결과도 10개 중 1개(CoreDNS)만 강하게 유의했다는 점에서 “기여자 수 하나로 설명되는 보편 법칙은 없다”는 선행 연구의 결론과 일치한다. 넷째, 본 연구가 “활성 기여자 수”를 커밋 작성자 수로 근사한 방법론적 한계도 있다. 봇 계정이나 일회성 기여자가 섞여 실제 “이슈 대응 인력”과 괴리가 있을 수 있다.</w:t>
      </w:r>
    </w:p>
    <w:p>
      <w:pPr>
        <w:pStyle w:val="Heading2"/>
        <w:keepNext/>
        <w:keepLines/>
        <w:spacing w:after="150" w:before="300"/>
      </w:pPr>
      <w:r>
        <w:t xml:space="preserve">4.3 한계</w:t>
      </w:r>
    </w:p>
    <w:p>
      <w:pPr>
        <w:pStyle w:val="ListParagraph"/>
        <w:keepLines/>
        <w:numPr>
          <w:ilvl w:val="0"/>
          <w:numId w:val="1"/>
        </w:numPr>
        <w:spacing w:after="100"/>
      </w:pPr>
      <w:r>
        <w:t xml:space="preserve">관측 대상이 CNCF 소속 10개 프로젝트, 12개월로 제한되어 CNCF 전체나 오픈소스 전반으로 일반화할 수 없다.</w:t>
      </w:r>
    </w:p>
    <w:p>
      <w:pPr>
        <w:pStyle w:val="ListParagraph"/>
        <w:keepLines/>
        <w:numPr>
          <w:ilvl w:val="0"/>
          <w:numId w:val="1"/>
        </w:numPr>
        <w:spacing w:after="100"/>
      </w:pPr>
      <w:r>
        <w:t xml:space="preserve">“활성 기여자 수”를 커밋 작성자 수로 근사했으며, 봇 계정·1회성 기여를 구분하지 않았다.</w:t>
      </w:r>
    </w:p>
    <w:p>
      <w:pPr>
        <w:pStyle w:val="ListParagraph"/>
        <w:keepLines/>
        <w:numPr>
          <w:ilvl w:val="0"/>
          <w:numId w:val="1"/>
        </w:numPr>
        <w:spacing w:after="100"/>
      </w:pPr>
      <w:r>
        <w:t xml:space="preserve">“닫힌 이슈”에는 실제로 해결된 것과 답 없이 종료(stale/wontfix)된 것이 섞여 있어, 처리 시간이 곧 해결 품질을 의미하지 않는다.</w:t>
      </w:r>
    </w:p>
    <w:p>
      <w:pPr>
        <w:pStyle w:val="ListParagraph"/>
        <w:keepLines/>
        <w:numPr>
          <w:ilvl w:val="0"/>
          <w:numId w:val="1"/>
        </w:numPr>
        <w:spacing w:after="100"/>
      </w:pPr>
      <w:r>
        <w:t xml:space="preserve">상관관계 분석이므로 인과관계를 주장할 수 없다. 기여자 수 증가가 처리 지연의 원인인지, 이슈가 많아져서 기여자가 몰린 결과(역인과)인지는 이번 데이터로 구분할 수 없다.</w:t>
      </w:r>
    </w:p>
    <w:p>
      <w:pPr>
        <w:pStyle w:val="Heading2"/>
        <w:keepNext/>
        <w:keepLines/>
        <w:spacing w:after="150" w:before="300"/>
      </w:pPr>
      <w:r>
        <w:t xml:space="preserve">4.4 결론</w:t>
      </w:r>
    </w:p>
    <w:p>
      <w:pPr>
        <w:keepLines/>
        <w:spacing w:after="160"/>
      </w:pPr>
      <w:r>
        <w:t xml:space="preserve">이번에 수집한 CNCF 10개 프로젝트·12개월 데이터(n=119)에서는 활성 기여자 수와 이슈 평균 처리 시간 사이에 유의미한 음의 상관관계가 나타나지 않았다(r=-0.041, p=0.661). 오히려 CoreDNS(r=+0.761, p&lt;0.001)처럼 기여자가 많을수록 처리 시간이 길어지는 강한 반대 방향의 사례가 있었고, 이상치인 Envoy를 제외하고 재계산하면 전체적으로도 유의한 양의 상관(r=+0.226, p=0.017)이 나타났다. 따라서 “기여자 수가 많을수록 이슈 처리가 빨라진다”는 원래 가설은 이 표본에서는 기각되며, 오히려 일부 프로젝트에서는 기여자 증가가 조율 비용 증가로 이어져 처리를 늦출 수 있다는 정반대의 가능성이 시사된다. 이 결론은 이번에 수집한 10개 CNCF 프로젝트·최근 12개월 데이터에 한정되며, 오픈소스 전반에 대한 일반화 주장은 아니다.</w:t>
      </w:r>
    </w:p>
    <w:p>
      <w:pPr>
        <w:pStyle w:val="Heading1"/>
        <w:keepNext/>
        <w:keepLines/>
        <w:spacing w:after="200" w:before="400"/>
      </w:pPr>
      <w:r>
        <w:t xml:space="preserve">참고문헌</w:t>
      </w:r>
    </w:p>
    <w:p>
      <w:pPr>
        <w:keepLines/>
        <w:spacing w:after="200"/>
        <w:ind w:left="480" w:hanging="480"/>
      </w:pPr>
      <w:r>
        <w:t xml:space="preserve">Nguyen Duc, A., Cruzes, D. S., Ayala, C., &amp; Conradi, R. (2011). Impact of Stakeholder Type and Collaboration on Issue Resolution Time in OSS Projects. In Open Source Systems: Grounding Research (OSS 2011), IFIP AICT 365. Springer. https://doi.org/10.1007/978-3-642-24418-6_1</w:t>
      </w:r>
    </w:p>
    <w:p>
      <w:pPr>
        <w:keepLines/>
        <w:spacing w:after="200"/>
        <w:ind w:left="480" w:hanging="480"/>
      </w:pPr>
      <w:r>
        <w:t xml:space="preserve">Ajibode, A., et al. (2023). Software issues report for bug fixing process: An empirical study of machine-learning libraries. arXiv:2312.06005. https://arxiv.org/abs/2312.06005</w:t>
      </w:r>
    </w:p>
    <w:p>
      <w:pPr>
        <w:keepLines/>
        <w:spacing w:after="200"/>
        <w:ind w:left="480" w:hanging="480"/>
      </w:pPr>
      <w:r>
        <w:t xml:space="preserve">Eiroa-Lledo, C., Ali, S., Pinto, R., Anderson, E., &amp; Linstead, E. (2023). Large-Scale Identification and Analysis of Factors Impacting Simple Bug Resolution Times in Open Source Software Repositories. Applied Sciences, 13(5), 3150. https://doi.org/10.3390/app13053150</w:t>
      </w:r>
    </w:p>
    <w:p>
      <w:pPr>
        <w:keepLines/>
        <w:spacing w:after="200"/>
        <w:ind w:left="480" w:hanging="480"/>
      </w:pPr>
      <w:r>
        <w:t xml:space="preserve">Sülün, E., et al. (2024). An Empirical Analysis of Issue Templates Usage in Large-Scale Projects on GitHub. ACM Transactions on Software Engineering and Methodology. https://doi.org/10.1145/3643673</w:t>
      </w:r>
    </w:p>
    <w:p>
      <w:pPr>
        <w:pStyle w:val="Heading1"/>
        <w:keepNext/>
        <w:keepLines/>
        <w:spacing w:after="200" w:before="400"/>
      </w:pPr>
      <w:r>
        <w:t xml:space="preserve">재현 방법</w:t>
      </w:r>
    </w:p>
    <w:p>
      <w:pPr>
        <w:keepLines/>
        <w:spacing w:after="160"/>
      </w:pPr>
      <w:r>
        <w:t xml:space="preserve">원자료(raw_data.csv), 수집 스크립트(collect_data.py), 분석 스크립트(analyze_data.py), 산점도(scatter_all.png), 요약 통계(analysis_summary.csv)는 재현 패키지 ZIP에 함께 포함되어 있다. GitHub Personal Access Token을 환경변수로 설정한 뒤 “python collect_data.py”로 원자료를 재수집할 수 있으며, “python analyze_data.py”로 표와 그림을 재생성할 수 있다. 자세한 실행 절차는 재현 패키지 내 README.md를 참고한다.</w:t>
      </w:r>
    </w:p>
    <w:p>
      <w:pPr>
        <w:pStyle w:val="Heading1"/>
        <w:keepNext/>
        <w:keepLines/>
        <w:spacing w:after="200" w:before="400"/>
      </w:pPr>
      <w:r>
        <w:t xml:space="preserve">부록 A. 연구 설계 및 진행 과정</w:t>
      </w:r>
    </w:p>
    <w:p>
      <w:pPr>
        <w:pStyle w:val="Heading2"/>
        <w:keepNext/>
        <w:keepLines/>
        <w:spacing w:after="150" w:before="300"/>
      </w:pPr>
      <w:r>
        <w:t xml:space="preserve">A.1 관심 분야와 후보 주제</w:t>
      </w:r>
    </w:p>
    <w:p>
      <w:pPr>
        <w:keepLines/>
        <w:spacing w:after="160"/>
      </w:pPr>
      <w:r>
        <w:t xml:space="preserve">관심 분야는 네트워크 보안, 프론트엔드/백엔드 개발, 클라우드 엔지니어링이었다. 이 안에서 AI와 함께 공개 데이터로 검증 가능한 후보 주제 10개를 브레인스토밍한 뒤, 다음 3개를 최종 후보로 좁혔다.</w:t>
      </w:r>
    </w:p>
    <w:p>
      <w:pPr>
        <w:pStyle w:val="ListParagraph"/>
        <w:keepLines/>
        <w:numPr>
          <w:ilvl w:val="0"/>
          <w:numId w:val="1"/>
        </w:numPr>
        <w:spacing w:after="100"/>
      </w:pPr>
      <w:r>
        <w:t xml:space="preserve">후보 A: 오픈소스 인기도(스타 수)가 취약점 대응 속도(패치 기간)에 영향을 준다 — GitHub Advisory DB 기반</w:t>
      </w:r>
    </w:p>
    <w:p>
      <w:pPr>
        <w:pStyle w:val="ListParagraph"/>
        <w:keepLines/>
        <w:numPr>
          <w:ilvl w:val="0"/>
          <w:numId w:val="1"/>
        </w:numPr>
        <w:spacing w:after="100"/>
      </w:pPr>
      <w:r>
        <w:t xml:space="preserve">후보 B: 네트워크 트래픽 특성이 공격 트래픽 분류와 관련 있다 — CICIDS2017/NSL-KDD 기반</w:t>
      </w:r>
    </w:p>
    <w:p>
      <w:pPr>
        <w:pStyle w:val="ListParagraph"/>
        <w:keepLines/>
        <w:numPr>
          <w:ilvl w:val="0"/>
          <w:numId w:val="1"/>
        </w:numPr>
        <w:spacing w:after="100"/>
      </w:pPr>
      <w:r>
        <w:t xml:space="preserve">후보 C(채택): CNCF 오픈소스 프로젝트의 활성 기여자 수가 이슈 처리 속도에 영향을 준다 — CNCF DevStats/GitHub API 기반</w:t>
      </w:r>
    </w:p>
    <w:p>
      <w:pPr>
        <w:pStyle w:val="Heading2"/>
        <w:keepNext/>
        <w:keepLines/>
        <w:spacing w:after="150" w:before="300"/>
      </w:pPr>
      <w:r>
        <w:t xml:space="preserve">A.2 후보를 접은 이유와 최종 선택 이유</w:t>
      </w:r>
    </w:p>
    <w:p>
      <w:pPr>
        <w:keepLines/>
        <w:spacing w:after="160"/>
      </w:pPr>
      <w:r>
        <w:t xml:space="preserve">후보 A는 GitHub Advisory DB와 저장소 메타데이터를 직접 매칭해야 해서 데이터 정제 작업량이 가장 크고, 정해진 시간 내 완주 위험이 있어 접었다. 후보 B는 데이터가 이미 라벨링되어 있어 실행은 쉬웠지만, 가설을 새로 검증한다기보다 이미 잘 알려진 표준 분류 문제에 가까워 참신성이 낮다고 판단해 접었다. 후보 C는 클라우드 엔지니어링 관심 분야를 직접 반영하면서도, CNCF가 공식 운영하는 DevStats라는 목적에 맞는 공개 데이터 포털이 있어 데이터 신뢰도가 가장 높다고 판단해 최종 채택했다.</w:t>
      </w:r>
    </w:p>
    <w:p>
      <w:pPr>
        <w:pStyle w:val="Heading2"/>
        <w:keepNext/>
        <w:keepLines/>
        <w:spacing w:after="150" w:before="300"/>
      </w:pPr>
      <w:r>
        <w:t xml:space="preserve">A.3 AI와 가설을 다듬은 과정</w:t>
      </w:r>
    </w:p>
    <w:p>
      <w:pPr>
        <w:keepLines/>
        <w:spacing w:after="160"/>
      </w:pPr>
      <w:r>
        <w:t xml:space="preserve">① 관심 분야 제시 → ② AI가 공개 데이터 기반 후보 10개 제안 → ③ 그중 2개를 직접 지목하고 클라우드 주제 1개를 추가 요청 → ④ AI가 CNCF DevStats 기반 주제(후보 C)를 제안 → ⑤ 세 후보를 가설 문장·측정 방법·반증 조건까지 구체화한 뒤 후보 C를 최종 가설로 확정하는 순서로 진행했다.</w:t>
      </w:r>
    </w:p>
    <w:p>
      <w:pPr>
        <w:pStyle w:val="Heading2"/>
        <w:keepNext/>
        <w:keepLines/>
        <w:spacing w:after="150" w:before="300"/>
      </w:pPr>
      <w:r>
        <w:t xml:space="preserve">A.4 데이터 수집 방식을 도중에 바꾼 이유</w:t>
      </w:r>
    </w:p>
    <w:p>
      <w:pPr>
        <w:keepLines/>
        <w:spacing w:after="160"/>
      </w:pPr>
      <w:r>
        <w:t xml:space="preserve">원래 계획은 CNCF DevStats 대시보드에서 프로젝트별로 지표를 수동으로 내려받는 것이었다. 그러나 10개 프로젝트 × 12개월 × 지표 2종이면 100회가 넘는 수작업이 필요해 정해진 시간 내 완주가 어렵다고 판단해, 동일한 두 지표(활성 기여자 수, 이슈 처리 시간)를 GitHub REST API로 자동 수집하는 스크립트 방식으로 변경했다. DevStats에서 확인한 “이 지표가 실제로 존재하고 의미 있다”는 사실은 그대로 유지하되, 수집 경로만 재현 가능한 스크립트로 바꾼 것이다.</w:t>
      </w:r>
    </w:p>
    <w:p>
      <w:pPr>
        <w:pStyle w:val="Heading2"/>
        <w:keepNext/>
        <w:keepLines/>
        <w:spacing w:after="150" w:before="300"/>
      </w:pPr>
      <w:r>
        <w:t xml:space="preserve">A.5 참고문헌 출처를 확인한 방법</w:t>
      </w:r>
    </w:p>
    <w:p>
      <w:pPr>
        <w:keepLines/>
        <w:spacing w:after="160"/>
      </w:pPr>
      <w:r>
        <w:t xml:space="preserve">웹 검색으로 각 논문 제목을 검색해 학술 출판사(Springer, MDPI, ACM) 또는 arXiv의 원문 페이지·DOI가 실제로 존재함을 확인했으며, 4개 URL 모두 로그인·계정 생성 없이 새 창에서 열리는 것을 확인했다.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844a3fc248a02919f5cf21da4c9544a5e0f6f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2026-09-16T06:26:23.044Z</dcterms:created>
  <dcterms:modified xsi:type="dcterms:W3CDTF">2026-09-16T06:26:23.048Z</dcterms:modified>
</cp:coreProperties>
</file>

<file path=docProps/custom.xml><?xml version="1.0" encoding="utf-8"?>
<Properties xmlns="http://schemas.openxmlformats.org/officeDocument/2006/custom-properties" xmlns:vt="http://schemas.openxmlformats.org/officeDocument/2006/docPropsVTypes"/>
</file>