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F7235" w14:textId="44BCD2E5" w:rsidR="009C37EE" w:rsidRDefault="009C37EE" w:rsidP="009C37EE">
      <w:pPr>
        <w:jc w:val="right"/>
        <w:rPr>
          <w:color w:val="000000" w:themeColor="text1"/>
        </w:rPr>
      </w:pPr>
      <w:r w:rsidRPr="009C37EE">
        <w:rPr>
          <w:color w:val="000000" w:themeColor="text1"/>
        </w:rPr>
        <w:t>Sam Kramer</w:t>
      </w:r>
    </w:p>
    <w:p w14:paraId="1AF36BD1" w14:textId="3985779B" w:rsidR="009C37EE" w:rsidRDefault="009C37EE" w:rsidP="009C37EE">
      <w:pPr>
        <w:jc w:val="right"/>
        <w:rPr>
          <w:color w:val="000000" w:themeColor="text1"/>
        </w:rPr>
      </w:pPr>
      <w:r>
        <w:rPr>
          <w:color w:val="000000" w:themeColor="text1"/>
        </w:rPr>
        <w:t>ENERGY 294</w:t>
      </w:r>
    </w:p>
    <w:p w14:paraId="077BF57D" w14:textId="64FF07EB" w:rsidR="009C37EE" w:rsidRDefault="009C37EE" w:rsidP="009C37EE">
      <w:pPr>
        <w:jc w:val="right"/>
        <w:rPr>
          <w:color w:val="000000" w:themeColor="text1"/>
        </w:rPr>
      </w:pPr>
      <w:r>
        <w:rPr>
          <w:color w:val="000000" w:themeColor="text1"/>
        </w:rPr>
        <w:t>Homework 1</w:t>
      </w:r>
    </w:p>
    <w:p w14:paraId="4AE597D8" w14:textId="6C7E2985" w:rsidR="009C37EE" w:rsidRDefault="009C37EE" w:rsidP="009C37EE">
      <w:pPr>
        <w:jc w:val="right"/>
        <w:rPr>
          <w:color w:val="000000" w:themeColor="text1"/>
        </w:rPr>
      </w:pPr>
      <w:r>
        <w:rPr>
          <w:color w:val="000000" w:themeColor="text1"/>
        </w:rPr>
        <w:t>4/12/18</w:t>
      </w:r>
    </w:p>
    <w:p w14:paraId="26DFA308" w14:textId="77777777" w:rsidR="009C37EE" w:rsidRDefault="009C37EE" w:rsidP="009C37EE">
      <w:pPr>
        <w:jc w:val="right"/>
        <w:rPr>
          <w:color w:val="000000" w:themeColor="text1"/>
        </w:rPr>
      </w:pPr>
    </w:p>
    <w:p w14:paraId="3F0BB553" w14:textId="3F37FB1B" w:rsidR="009C37EE" w:rsidRPr="009C37EE" w:rsidRDefault="009C37EE" w:rsidP="009C37EE">
      <w:pPr>
        <w:rPr>
          <w:b/>
          <w:color w:val="000000" w:themeColor="text1"/>
          <w:sz w:val="28"/>
          <w:szCs w:val="28"/>
        </w:rPr>
      </w:pPr>
      <w:r w:rsidRPr="009C37EE">
        <w:rPr>
          <w:b/>
          <w:color w:val="000000" w:themeColor="text1"/>
          <w:sz w:val="28"/>
          <w:szCs w:val="28"/>
        </w:rPr>
        <w:t>Problem 1</w:t>
      </w:r>
    </w:p>
    <w:p w14:paraId="526D4354" w14:textId="77777777" w:rsidR="009C37EE" w:rsidRDefault="009C37EE" w:rsidP="00946AAE">
      <w:pPr>
        <w:rPr>
          <w:b/>
          <w:color w:val="000000" w:themeColor="text1"/>
        </w:rPr>
      </w:pPr>
    </w:p>
    <w:p w14:paraId="45AA41AC" w14:textId="77777777" w:rsidR="00620965" w:rsidRDefault="000C220D" w:rsidP="00946AAE">
      <w:pPr>
        <w:rPr>
          <w:i/>
          <w:color w:val="000000" w:themeColor="text1"/>
        </w:rPr>
      </w:pPr>
      <w:r w:rsidRPr="009418EF">
        <w:rPr>
          <w:i/>
          <w:color w:val="000000" w:themeColor="text1"/>
        </w:rPr>
        <w:t>“</w:t>
      </w:r>
      <w:r w:rsidR="00610D90" w:rsidRPr="009418EF">
        <w:rPr>
          <w:i/>
          <w:color w:val="000000" w:themeColor="text1"/>
        </w:rPr>
        <w:t>Toyota sold 1.52 million electrified vehicles in 2017, three years ahead of 2020 target; cumulative sales &gt;11.47M”</w:t>
      </w:r>
    </w:p>
    <w:p w14:paraId="7A3ABF0C" w14:textId="2FA64F62" w:rsidR="001103CD" w:rsidRPr="009418EF" w:rsidRDefault="009418EF" w:rsidP="00946AAE">
      <w:pPr>
        <w:rPr>
          <w:i/>
          <w:color w:val="000000" w:themeColor="text1"/>
          <w:u w:val="single"/>
        </w:rPr>
      </w:pPr>
      <w:bookmarkStart w:id="0" w:name="_GoBack"/>
      <w:bookmarkEnd w:id="0"/>
      <w:r w:rsidRPr="009418EF">
        <w:rPr>
          <w:i/>
          <w:color w:val="000000" w:themeColor="text1"/>
        </w:rPr>
        <w:t xml:space="preserve"> </w:t>
      </w:r>
      <w:hyperlink r:id="rId5" w:history="1">
        <w:r w:rsidR="000C220D" w:rsidRPr="009418EF">
          <w:rPr>
            <w:rStyle w:val="Hyperlink"/>
          </w:rPr>
          <w:t>http://www.greencarcongress.com/2018/02/20180202-tmc.html</w:t>
        </w:r>
      </w:hyperlink>
      <w:r w:rsidR="000C220D" w:rsidRPr="009418EF">
        <w:rPr>
          <w:color w:val="000000" w:themeColor="text1"/>
          <w:u w:val="single"/>
        </w:rPr>
        <w:t xml:space="preserve"> </w:t>
      </w:r>
    </w:p>
    <w:p w14:paraId="41BF1E39" w14:textId="0B6BC904" w:rsidR="00C14D58" w:rsidRPr="009418EF" w:rsidRDefault="00C14D58" w:rsidP="00946AAE">
      <w:pPr>
        <w:rPr>
          <w:i/>
          <w:color w:val="000000" w:themeColor="text1"/>
        </w:rPr>
      </w:pPr>
      <w:r w:rsidRPr="009418EF">
        <w:rPr>
          <w:i/>
          <w:color w:val="000000" w:themeColor="text1"/>
        </w:rPr>
        <w:t>“Toyota aims for sales of more than 5.5M electrified vehicles including 1M ZEVS per year by 2030; no models developed without electrified version”</w:t>
      </w:r>
      <w:r w:rsidR="009418EF">
        <w:rPr>
          <w:i/>
          <w:color w:val="000000" w:themeColor="text1"/>
        </w:rPr>
        <w:t xml:space="preserve"> - </w:t>
      </w:r>
      <w:hyperlink r:id="rId6" w:history="1">
        <w:r w:rsidRPr="00B43FC7">
          <w:rPr>
            <w:rStyle w:val="Hyperlink"/>
          </w:rPr>
          <w:t>http://www.greencarcongress.com/2017/12/20171218-toyota.html</w:t>
        </w:r>
      </w:hyperlink>
      <w:r>
        <w:rPr>
          <w:color w:val="000000" w:themeColor="text1"/>
        </w:rPr>
        <w:t xml:space="preserve"> </w:t>
      </w:r>
    </w:p>
    <w:p w14:paraId="3AC0381B" w14:textId="77777777" w:rsidR="001103CD" w:rsidRDefault="001103CD" w:rsidP="00946AAE">
      <w:pPr>
        <w:rPr>
          <w:b/>
          <w:color w:val="000000" w:themeColor="text1"/>
        </w:rPr>
      </w:pPr>
    </w:p>
    <w:p w14:paraId="7B352A50" w14:textId="5E1EED4D" w:rsidR="001103CD" w:rsidRDefault="00131093" w:rsidP="00946AAE">
      <w:pPr>
        <w:rPr>
          <w:color w:val="000000" w:themeColor="text1"/>
        </w:rPr>
      </w:pPr>
      <w:r>
        <w:rPr>
          <w:b/>
          <w:color w:val="000000" w:themeColor="text1"/>
        </w:rPr>
        <w:tab/>
      </w:r>
      <w:r w:rsidR="00C14D58">
        <w:rPr>
          <w:color w:val="000000" w:themeColor="text1"/>
        </w:rPr>
        <w:t>These</w:t>
      </w:r>
      <w:r>
        <w:rPr>
          <w:color w:val="000000" w:themeColor="text1"/>
        </w:rPr>
        <w:t xml:space="preserve"> article</w:t>
      </w:r>
      <w:r w:rsidR="00C14D58">
        <w:rPr>
          <w:color w:val="000000" w:themeColor="text1"/>
        </w:rPr>
        <w:t>s</w:t>
      </w:r>
      <w:r>
        <w:rPr>
          <w:color w:val="000000" w:themeColor="text1"/>
        </w:rPr>
        <w:t xml:space="preserve"> discussed Toyota’s annual sales and compared them with previously set targets</w:t>
      </w:r>
      <w:r w:rsidR="00C14D58">
        <w:rPr>
          <w:color w:val="000000" w:themeColor="text1"/>
        </w:rPr>
        <w:t>, as well as discussing future targets for sales and how they might be met</w:t>
      </w:r>
      <w:r>
        <w:rPr>
          <w:color w:val="000000" w:themeColor="text1"/>
        </w:rPr>
        <w:t>. In 2017, Toyota sold 1.52 million electrified vehicles (i.e. hybrid vehicles and battery electric vehicles).</w:t>
      </w:r>
      <w:r w:rsidR="00C14D58">
        <w:rPr>
          <w:color w:val="000000" w:themeColor="text1"/>
        </w:rPr>
        <w:t xml:space="preserve"> Toyota had originally set a target for selling 1.5 million electric vehicles in 2020, but they were able to reach their target 3 years ahead of schedule. Toyota has sold 11.47 million electrified vehicles cumulatively, wh</w:t>
      </w:r>
      <w:r w:rsidR="008573EC">
        <w:rPr>
          <w:color w:val="000000" w:themeColor="text1"/>
        </w:rPr>
        <w:t xml:space="preserve">ich is quite an accomplishment. However, they intend to sell 5.5 million electrified vehicles per year by 2030, with 1 million of them being BEVs or fuel cell vehicles. To reach this target, Toyota intends to sell 10 different BEV models globally. Perhaps the most aggressive step noted in the article is the target of having every vehicle in the fleet available either with an electrified option or only as an electrified vehicle. </w:t>
      </w:r>
      <w:r w:rsidR="00242739">
        <w:rPr>
          <w:color w:val="000000" w:themeColor="text1"/>
        </w:rPr>
        <w:t xml:space="preserve">Toyota also hopes to develop a prismatic battery system with Panasonic and to develop a social infrastructure that promotes electrified vehicle adoption by partnering with governments and other companies to encourage battery recycling and the installation of charging and hydrogen fueling stations. </w:t>
      </w:r>
    </w:p>
    <w:p w14:paraId="59E74218" w14:textId="14673740" w:rsidR="00503E6E" w:rsidRDefault="001155FF" w:rsidP="00320A45">
      <w:pPr>
        <w:rPr>
          <w:color w:val="000000" w:themeColor="text1"/>
        </w:rPr>
      </w:pPr>
      <w:r>
        <w:rPr>
          <w:color w:val="000000" w:themeColor="text1"/>
        </w:rPr>
        <w:tab/>
        <w:t xml:space="preserve">These articles struck me as important because they helped highlight both how far the industry has come in a short time and also how far it still has to go. </w:t>
      </w:r>
      <w:r w:rsidR="00FC5EC7">
        <w:rPr>
          <w:color w:val="000000" w:themeColor="text1"/>
        </w:rPr>
        <w:t xml:space="preserve">Clearly, electrified vehicle technology has progressed at a pace that has far exceeded the expectations of both customers and manufacturers, which is </w:t>
      </w:r>
      <w:r w:rsidR="007175E6">
        <w:rPr>
          <w:color w:val="000000" w:themeColor="text1"/>
        </w:rPr>
        <w:t xml:space="preserve">encouraging </w:t>
      </w:r>
      <w:r w:rsidR="00390414">
        <w:rPr>
          <w:color w:val="000000" w:themeColor="text1"/>
        </w:rPr>
        <w:t xml:space="preserve">and inspiring. These vehicles have been widely adopted and are increasing in popularity, and as the powertrain technology improves, their popularity will surely increase at a more favorable rate. However, there is still a long way to go between 1.5 million sales and 5.5 million sales. The ICE vehicle is somewhat entrenched in our society and significant infrastructure installments are necessary in order to support an electrified vehicle fleet that large. </w:t>
      </w:r>
      <w:r w:rsidR="008B3757">
        <w:rPr>
          <w:color w:val="000000" w:themeColor="text1"/>
        </w:rPr>
        <w:t xml:space="preserve">While auto manufacturers have clear and direct incentives to adopt new technologies and provide consumers with what they want, they are also dependent on large and slow institutions like utilities and governments to help develop the required infrastructure, and if these institutions do not get on board and start to move quickly, </w:t>
      </w:r>
      <w:r w:rsidR="00AF33D2">
        <w:rPr>
          <w:color w:val="000000" w:themeColor="text1"/>
        </w:rPr>
        <w:t xml:space="preserve">things may get complicated. </w:t>
      </w:r>
      <w:r w:rsidR="001A187A">
        <w:rPr>
          <w:color w:val="000000" w:themeColor="text1"/>
        </w:rPr>
        <w:t xml:space="preserve">However, my biggest takeaway from these articles was that the writing is on the wall -  electric vehicles are here to stay and consumers are seeing the benefits of these vehicles more </w:t>
      </w:r>
      <w:r w:rsidR="00CE023E">
        <w:rPr>
          <w:color w:val="000000" w:themeColor="text1"/>
        </w:rPr>
        <w:t xml:space="preserve">and more. </w:t>
      </w:r>
    </w:p>
    <w:p w14:paraId="1EBCD883" w14:textId="77777777" w:rsidR="001103CD" w:rsidRDefault="001103CD">
      <w:pPr>
        <w:rPr>
          <w:b/>
          <w:color w:val="000000" w:themeColor="text1"/>
        </w:rPr>
      </w:pPr>
      <w:r>
        <w:rPr>
          <w:b/>
          <w:color w:val="000000" w:themeColor="text1"/>
        </w:rPr>
        <w:br w:type="page"/>
      </w:r>
    </w:p>
    <w:p w14:paraId="3D7C84CF" w14:textId="77777777" w:rsidR="00037B0E" w:rsidRPr="004E1494" w:rsidRDefault="00503E6E" w:rsidP="00320A45">
      <w:pPr>
        <w:rPr>
          <w:b/>
          <w:color w:val="000000" w:themeColor="text1"/>
        </w:rPr>
      </w:pPr>
      <w:r w:rsidRPr="004E1494">
        <w:rPr>
          <w:i/>
          <w:color w:val="000000" w:themeColor="text1"/>
        </w:rPr>
        <w:lastRenderedPageBreak/>
        <w:t>“Ford ups its electrified vehicle ante to $11B; 86% trucks and SUVs in the product mix by 2020”</w:t>
      </w:r>
    </w:p>
    <w:p w14:paraId="4A243CCA" w14:textId="6CFFCE51" w:rsidR="00E45FA0" w:rsidRPr="00037B0E" w:rsidRDefault="00620965" w:rsidP="00320A45">
      <w:pPr>
        <w:rPr>
          <w:color w:val="000000" w:themeColor="text1"/>
        </w:rPr>
      </w:pPr>
      <w:hyperlink r:id="rId7" w:history="1">
        <w:r w:rsidR="00E45FA0" w:rsidRPr="00037B0E">
          <w:rPr>
            <w:rStyle w:val="Hyperlink"/>
          </w:rPr>
          <w:t>http://www.greencarcongress.com/2018/03/20180316-ford.html</w:t>
        </w:r>
      </w:hyperlink>
      <w:r w:rsidR="00E45FA0" w:rsidRPr="00037B0E">
        <w:rPr>
          <w:color w:val="000000" w:themeColor="text1"/>
        </w:rPr>
        <w:t xml:space="preserve"> </w:t>
      </w:r>
    </w:p>
    <w:p w14:paraId="69E65B0A" w14:textId="77777777" w:rsidR="008272C6" w:rsidRDefault="008272C6" w:rsidP="00320A45">
      <w:pPr>
        <w:rPr>
          <w:b/>
          <w:color w:val="000000" w:themeColor="text1"/>
        </w:rPr>
      </w:pPr>
    </w:p>
    <w:p w14:paraId="30F30974" w14:textId="1E28641C" w:rsidR="008272C6" w:rsidRDefault="008272C6" w:rsidP="00320A45">
      <w:pPr>
        <w:rPr>
          <w:color w:val="000000" w:themeColor="text1"/>
        </w:rPr>
      </w:pPr>
      <w:r>
        <w:rPr>
          <w:b/>
          <w:color w:val="000000" w:themeColor="text1"/>
        </w:rPr>
        <w:tab/>
      </w:r>
      <w:r w:rsidR="00033236">
        <w:rPr>
          <w:color w:val="000000" w:themeColor="text1"/>
        </w:rPr>
        <w:t xml:space="preserve">In this article, the author details the multitude of ways in which Ford intends to modernize its vehicle fleet over the next few years. </w:t>
      </w:r>
      <w:r w:rsidR="00352928">
        <w:rPr>
          <w:color w:val="000000" w:themeColor="text1"/>
        </w:rPr>
        <w:t>Overall, they intend</w:t>
      </w:r>
      <w:r w:rsidR="00F958B8">
        <w:rPr>
          <w:color w:val="000000" w:themeColor="text1"/>
        </w:rPr>
        <w:t xml:space="preserve"> to spend $11 billion through 2020 on electrified vehicles, which is a significant increase from $4.5 billion that was </w:t>
      </w:r>
      <w:r w:rsidR="006A1C82">
        <w:rPr>
          <w:color w:val="000000" w:themeColor="text1"/>
        </w:rPr>
        <w:t xml:space="preserve">proposed in 2017. </w:t>
      </w:r>
      <w:r w:rsidR="00352928">
        <w:rPr>
          <w:color w:val="000000" w:themeColor="text1"/>
        </w:rPr>
        <w:t xml:space="preserve">Hybrids will play a more significant role in Ford’s future vehicle fleet – more efficient and cheaper hybrid drivetrains will lower ownership costs for customers and hybrid drives will be added to popular models like the F-150 and the Mustang. </w:t>
      </w:r>
      <w:r w:rsidR="00FB7480">
        <w:rPr>
          <w:color w:val="000000" w:themeColor="text1"/>
        </w:rPr>
        <w:t xml:space="preserve">In order to </w:t>
      </w:r>
      <w:r w:rsidR="006B7A9C">
        <w:rPr>
          <w:color w:val="000000" w:themeColor="text1"/>
        </w:rPr>
        <w:t>produce and sell more BEVs, Ford is considering ways of making BEV ownership “effortless” and is redesigning the manufacturing process, cutting the required factory floor space and the required capital investmen</w:t>
      </w:r>
      <w:r w:rsidR="00D6628B">
        <w:rPr>
          <w:color w:val="000000" w:themeColor="text1"/>
        </w:rPr>
        <w:t xml:space="preserve">t both by 50%. Ford also intends to design “flexible vehicle architectures” so that all models are based on the same 5 core designs, which is estimated to save $4 billion and cut development time by 20%. </w:t>
      </w:r>
    </w:p>
    <w:p w14:paraId="6AE74F57" w14:textId="297E779D" w:rsidR="005319FE" w:rsidRPr="00033236" w:rsidRDefault="005319FE" w:rsidP="00320A45">
      <w:pPr>
        <w:rPr>
          <w:color w:val="000000" w:themeColor="text1"/>
        </w:rPr>
      </w:pPr>
      <w:r>
        <w:rPr>
          <w:color w:val="000000" w:themeColor="text1"/>
        </w:rPr>
        <w:tab/>
        <w:t>I felt this article was important because it highlighted where the auto industry needs to go in order to meet customer’s expectations. When I think about electric cars today, I mostly think about cars that are in production like the Tesla Model S, BMW i3, Nissan Leaf, and the Chevy Bolt. However, this article mentioned that Ford estimates that 50% of sales will be SUVs in 2020</w:t>
      </w:r>
      <w:r w:rsidR="002908E9">
        <w:rPr>
          <w:color w:val="000000" w:themeColor="text1"/>
        </w:rPr>
        <w:t xml:space="preserve"> and Ford’s revenues from the F-Series trucks alone exceeds the revenues of companies like Facebook, Coca-Cola, and Nike. </w:t>
      </w:r>
      <w:r w:rsidR="00F40B14">
        <w:rPr>
          <w:color w:val="000000" w:themeColor="text1"/>
        </w:rPr>
        <w:t xml:space="preserve">Building small, lightweight electric vehicles is one thing, but meeting consumer demand for larger cars like SUVs and pick-up trucks is another. This article has encouraged me to think more into the future about how to combine electric vehicle technology with the qualities consumers seek in these large vehicles and how to address the technical challenges presented by this task. </w:t>
      </w:r>
    </w:p>
    <w:p w14:paraId="67DFA934" w14:textId="77777777" w:rsidR="00E45FA0" w:rsidRDefault="00E45FA0" w:rsidP="001103CD">
      <w:pPr>
        <w:rPr>
          <w:color w:val="000000" w:themeColor="text1"/>
        </w:rPr>
      </w:pPr>
    </w:p>
    <w:p w14:paraId="4BE2896C" w14:textId="6C8BED56" w:rsidR="00BA15F1" w:rsidRDefault="00BA15F1">
      <w:pPr>
        <w:rPr>
          <w:color w:val="000000" w:themeColor="text1"/>
        </w:rPr>
      </w:pPr>
      <w:r>
        <w:rPr>
          <w:color w:val="000000" w:themeColor="text1"/>
        </w:rPr>
        <w:br w:type="page"/>
      </w:r>
    </w:p>
    <w:p w14:paraId="4F1CED4F" w14:textId="10D324A5" w:rsidR="001103CD" w:rsidRPr="00620965" w:rsidRDefault="00BA15F1" w:rsidP="001103CD">
      <w:pPr>
        <w:rPr>
          <w:i/>
          <w:color w:val="000000" w:themeColor="text1"/>
        </w:rPr>
      </w:pPr>
      <w:r w:rsidRPr="00620965">
        <w:rPr>
          <w:i/>
          <w:color w:val="000000" w:themeColor="text1"/>
        </w:rPr>
        <w:t>“New Argonne-developed tool helps car buyers compare electric-drive and traditional vehicles”</w:t>
      </w:r>
    </w:p>
    <w:p w14:paraId="0F319534" w14:textId="0A512322" w:rsidR="00BA15F1" w:rsidRDefault="00620965" w:rsidP="001103CD">
      <w:pPr>
        <w:rPr>
          <w:color w:val="000000" w:themeColor="text1"/>
        </w:rPr>
      </w:pPr>
      <w:hyperlink r:id="rId8" w:history="1">
        <w:r w:rsidR="00BA15F1" w:rsidRPr="00B43FC7">
          <w:rPr>
            <w:rStyle w:val="Hyperlink"/>
          </w:rPr>
          <w:t>http://www.greencarcongress.com/2018/02/20180215-evolution.html</w:t>
        </w:r>
      </w:hyperlink>
    </w:p>
    <w:p w14:paraId="511E1AF0" w14:textId="2EB15C06" w:rsidR="001103CD" w:rsidRDefault="001103CD" w:rsidP="001103CD">
      <w:pPr>
        <w:rPr>
          <w:color w:val="000000" w:themeColor="text1"/>
        </w:rPr>
      </w:pPr>
    </w:p>
    <w:p w14:paraId="21F6FD67" w14:textId="6AAE51D9" w:rsidR="00C718C0" w:rsidRDefault="00C718C0" w:rsidP="001103CD">
      <w:pPr>
        <w:rPr>
          <w:color w:val="000000" w:themeColor="text1"/>
        </w:rPr>
      </w:pPr>
      <w:r>
        <w:rPr>
          <w:color w:val="000000" w:themeColor="text1"/>
        </w:rPr>
        <w:tab/>
      </w:r>
      <w:r w:rsidR="006F1D1E">
        <w:rPr>
          <w:color w:val="000000" w:themeColor="text1"/>
        </w:rPr>
        <w:t xml:space="preserve">This article described a new online tool developed by Argonne National Laboratory to help consumers in the Midwest make an informed vehicle purchase. </w:t>
      </w:r>
      <w:r w:rsidR="00846726">
        <w:rPr>
          <w:color w:val="000000" w:themeColor="text1"/>
        </w:rPr>
        <w:t xml:space="preserve">The tool, called EVolution, considers consumer inputs like purchase price and compares the financial and environmental benefits of conventional vehicles and their electrified counterparts. The tool uses the individual’s commute time and ZIP code so that climate data, fuel and electricity prices, and vehicle incentives can be used to help determine the financial and environmental benefits of each option. The tool also uses maps of charging stations, which are provided to the consumer, to help determine what options are available for charging. </w:t>
      </w:r>
    </w:p>
    <w:p w14:paraId="4A11A0C1" w14:textId="19DDB1DF" w:rsidR="00842E09" w:rsidRDefault="002F5F3D">
      <w:pPr>
        <w:rPr>
          <w:color w:val="000000" w:themeColor="text1"/>
        </w:rPr>
      </w:pPr>
      <w:r>
        <w:rPr>
          <w:color w:val="000000" w:themeColor="text1"/>
        </w:rPr>
        <w:tab/>
        <w:t xml:space="preserve">Two things in particular struck me about this article. Firstly, the tool makes use of information that all seems to be publicly available on sites like the Alternative Fuels Data Center, </w:t>
      </w:r>
      <w:r w:rsidR="00EA45B1">
        <w:rPr>
          <w:color w:val="000000" w:themeColor="text1"/>
        </w:rPr>
        <w:t>FuelEconomy.gov, and the US EIA. While a particularly determined consumer might have been able to go out and find and interpret all this information on his or her own, simple tools like these can vastly simplify the process and allow significantly more consumers to make a better choice</w:t>
      </w:r>
      <w:r w:rsidR="006C5E6A">
        <w:rPr>
          <w:color w:val="000000" w:themeColor="text1"/>
        </w:rPr>
        <w:t xml:space="preserve"> without creating a need for more or enhanced data collection. </w:t>
      </w:r>
      <w:r w:rsidR="00BD1CDE">
        <w:rPr>
          <w:color w:val="000000" w:themeColor="text1"/>
        </w:rPr>
        <w:t xml:space="preserve">Secondly, this tool was created with support from a partnership that included the American Lung Association and Clean Cities coalitions in the Midwest. </w:t>
      </w:r>
      <w:r w:rsidR="00316A80">
        <w:rPr>
          <w:color w:val="000000" w:themeColor="text1"/>
        </w:rPr>
        <w:t>It is always striking to me to hear about domestic air quality concerns, since I have generally been fortunate to live i</w:t>
      </w:r>
      <w:r w:rsidR="00B93DC3">
        <w:rPr>
          <w:color w:val="000000" w:themeColor="text1"/>
        </w:rPr>
        <w:t xml:space="preserve">n places with good air quality. The benefits of electrified vehicles are broad, and this is not emphasized often enough. </w:t>
      </w:r>
      <w:r w:rsidR="00DD5BE8">
        <w:rPr>
          <w:color w:val="000000" w:themeColor="text1"/>
        </w:rPr>
        <w:t xml:space="preserve">Hopefully tools like this can be built for other areas of the country. </w:t>
      </w:r>
    </w:p>
    <w:p w14:paraId="68FD70CE" w14:textId="77777777" w:rsidR="00842E09" w:rsidRDefault="00842E09">
      <w:pPr>
        <w:rPr>
          <w:color w:val="000000" w:themeColor="text1"/>
        </w:rPr>
      </w:pPr>
      <w:r>
        <w:rPr>
          <w:color w:val="000000" w:themeColor="text1"/>
        </w:rPr>
        <w:br w:type="page"/>
      </w:r>
    </w:p>
    <w:p w14:paraId="050131BC" w14:textId="15F39942" w:rsidR="00640C86" w:rsidRDefault="00842E09">
      <w:pPr>
        <w:rPr>
          <w:b/>
          <w:color w:val="000000" w:themeColor="text1"/>
          <w:sz w:val="28"/>
          <w:szCs w:val="28"/>
        </w:rPr>
      </w:pPr>
      <w:r>
        <w:rPr>
          <w:b/>
          <w:color w:val="000000" w:themeColor="text1"/>
          <w:sz w:val="28"/>
          <w:szCs w:val="28"/>
        </w:rPr>
        <w:t>Problem 2</w:t>
      </w:r>
    </w:p>
    <w:p w14:paraId="5481D923" w14:textId="77777777" w:rsidR="00DA3917" w:rsidRDefault="00DA3917">
      <w:pPr>
        <w:rPr>
          <w:b/>
          <w:color w:val="000000" w:themeColor="text1"/>
          <w:sz w:val="28"/>
          <w:szCs w:val="28"/>
        </w:rPr>
      </w:pPr>
    </w:p>
    <w:tbl>
      <w:tblPr>
        <w:tblW w:w="5665" w:type="dxa"/>
        <w:tblInd w:w="1624" w:type="dxa"/>
        <w:tblLayout w:type="fixed"/>
        <w:tblLook w:val="04A0" w:firstRow="1" w:lastRow="0" w:firstColumn="1" w:lastColumn="0" w:noHBand="0" w:noVBand="1"/>
      </w:tblPr>
      <w:tblGrid>
        <w:gridCol w:w="1073"/>
        <w:gridCol w:w="1200"/>
        <w:gridCol w:w="946"/>
        <w:gridCol w:w="1456"/>
        <w:gridCol w:w="990"/>
      </w:tblGrid>
      <w:tr w:rsidR="00DA3917" w:rsidRPr="00DA3917" w14:paraId="1E15BE59" w14:textId="77777777" w:rsidTr="00DA3917">
        <w:trPr>
          <w:trHeight w:val="380"/>
        </w:trPr>
        <w:tc>
          <w:tcPr>
            <w:tcW w:w="5665"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4B62B0" w14:textId="77777777" w:rsidR="00DA3917" w:rsidRPr="00DA3917" w:rsidRDefault="00DA3917" w:rsidP="00DA3917">
            <w:pPr>
              <w:jc w:val="center"/>
              <w:rPr>
                <w:rFonts w:ascii="Calibri" w:eastAsia="Times New Roman" w:hAnsi="Calibri" w:cs="Times New Roman"/>
                <w:b/>
                <w:bCs/>
                <w:color w:val="000000"/>
                <w:sz w:val="28"/>
                <w:szCs w:val="28"/>
              </w:rPr>
            </w:pPr>
            <w:r w:rsidRPr="00DA3917">
              <w:rPr>
                <w:rFonts w:ascii="Calibri" w:eastAsia="Times New Roman" w:hAnsi="Calibri" w:cs="Times New Roman"/>
                <w:b/>
                <w:bCs/>
                <w:color w:val="000000"/>
                <w:sz w:val="28"/>
                <w:szCs w:val="28"/>
              </w:rPr>
              <w:t>Energy Use by Source (Quads)</w:t>
            </w:r>
          </w:p>
        </w:tc>
      </w:tr>
      <w:tr w:rsidR="00DA3917" w:rsidRPr="00DA3917" w14:paraId="713ABA80" w14:textId="77777777" w:rsidTr="00DA3917">
        <w:trPr>
          <w:trHeight w:val="32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43342FF4" w14:textId="77777777" w:rsidR="00DA3917" w:rsidRPr="00DA3917" w:rsidRDefault="00DA3917" w:rsidP="00DA3917">
            <w:pPr>
              <w:rPr>
                <w:rFonts w:ascii="Calibri" w:eastAsia="Times New Roman" w:hAnsi="Calibri" w:cs="Times New Roman"/>
                <w:color w:val="000000"/>
              </w:rPr>
            </w:pPr>
            <w:r w:rsidRPr="00DA3917">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44207264" w14:textId="77777777" w:rsidR="00DA3917" w:rsidRPr="00DA3917" w:rsidRDefault="00DA3917" w:rsidP="00DA3917">
            <w:pPr>
              <w:jc w:val="center"/>
              <w:rPr>
                <w:rFonts w:ascii="Calibri" w:eastAsia="Times New Roman" w:hAnsi="Calibri" w:cs="Times New Roman"/>
                <w:color w:val="000000"/>
              </w:rPr>
            </w:pPr>
            <w:r w:rsidRPr="00DA3917">
              <w:rPr>
                <w:rFonts w:ascii="Calibri" w:eastAsia="Times New Roman" w:hAnsi="Calibri" w:cs="Times New Roman"/>
                <w:color w:val="000000"/>
              </w:rPr>
              <w:t>Solar</w:t>
            </w:r>
          </w:p>
        </w:tc>
        <w:tc>
          <w:tcPr>
            <w:tcW w:w="946" w:type="dxa"/>
            <w:tcBorders>
              <w:top w:val="nil"/>
              <w:left w:val="nil"/>
              <w:bottom w:val="single" w:sz="4" w:space="0" w:color="auto"/>
              <w:right w:val="single" w:sz="4" w:space="0" w:color="auto"/>
            </w:tcBorders>
            <w:shd w:val="clear" w:color="auto" w:fill="auto"/>
            <w:noWrap/>
            <w:vAlign w:val="bottom"/>
            <w:hideMark/>
          </w:tcPr>
          <w:p w14:paraId="2BD13C7F" w14:textId="77777777" w:rsidR="00DA3917" w:rsidRPr="00DA3917" w:rsidRDefault="00DA3917" w:rsidP="00DA3917">
            <w:pPr>
              <w:jc w:val="center"/>
              <w:rPr>
                <w:rFonts w:ascii="Calibri" w:eastAsia="Times New Roman" w:hAnsi="Calibri" w:cs="Times New Roman"/>
                <w:color w:val="000000"/>
              </w:rPr>
            </w:pPr>
            <w:r w:rsidRPr="00DA3917">
              <w:rPr>
                <w:rFonts w:ascii="Calibri" w:eastAsia="Times New Roman" w:hAnsi="Calibri" w:cs="Times New Roman"/>
                <w:color w:val="000000"/>
              </w:rPr>
              <w:t>Coal</w:t>
            </w:r>
          </w:p>
        </w:tc>
        <w:tc>
          <w:tcPr>
            <w:tcW w:w="1456" w:type="dxa"/>
            <w:tcBorders>
              <w:top w:val="nil"/>
              <w:left w:val="nil"/>
              <w:bottom w:val="single" w:sz="4" w:space="0" w:color="auto"/>
              <w:right w:val="single" w:sz="4" w:space="0" w:color="auto"/>
            </w:tcBorders>
            <w:shd w:val="clear" w:color="auto" w:fill="auto"/>
            <w:noWrap/>
            <w:vAlign w:val="bottom"/>
            <w:hideMark/>
          </w:tcPr>
          <w:p w14:paraId="150AA9A2" w14:textId="77777777" w:rsidR="00DA3917" w:rsidRPr="00DA3917" w:rsidRDefault="00DA3917" w:rsidP="00DA3917">
            <w:pPr>
              <w:jc w:val="center"/>
              <w:rPr>
                <w:rFonts w:ascii="Calibri" w:eastAsia="Times New Roman" w:hAnsi="Calibri" w:cs="Times New Roman"/>
                <w:color w:val="000000"/>
              </w:rPr>
            </w:pPr>
            <w:r w:rsidRPr="00DA3917">
              <w:rPr>
                <w:rFonts w:ascii="Calibri" w:eastAsia="Times New Roman" w:hAnsi="Calibri" w:cs="Times New Roman"/>
                <w:color w:val="000000"/>
              </w:rPr>
              <w:t>Petroleum</w:t>
            </w:r>
          </w:p>
        </w:tc>
        <w:tc>
          <w:tcPr>
            <w:tcW w:w="990" w:type="dxa"/>
            <w:tcBorders>
              <w:top w:val="nil"/>
              <w:left w:val="nil"/>
              <w:bottom w:val="single" w:sz="4" w:space="0" w:color="auto"/>
              <w:right w:val="single" w:sz="4" w:space="0" w:color="auto"/>
            </w:tcBorders>
            <w:shd w:val="clear" w:color="auto" w:fill="auto"/>
            <w:noWrap/>
            <w:vAlign w:val="bottom"/>
            <w:hideMark/>
          </w:tcPr>
          <w:p w14:paraId="551A68FE" w14:textId="77777777" w:rsidR="00DA3917" w:rsidRPr="00DA3917" w:rsidRDefault="00DA3917" w:rsidP="00DA3917">
            <w:pPr>
              <w:jc w:val="center"/>
              <w:rPr>
                <w:rFonts w:ascii="Calibri" w:eastAsia="Times New Roman" w:hAnsi="Calibri" w:cs="Times New Roman"/>
                <w:color w:val="000000"/>
              </w:rPr>
            </w:pPr>
            <w:r w:rsidRPr="00DA3917">
              <w:rPr>
                <w:rFonts w:ascii="Calibri" w:eastAsia="Times New Roman" w:hAnsi="Calibri" w:cs="Times New Roman"/>
                <w:color w:val="000000"/>
              </w:rPr>
              <w:t>Total</w:t>
            </w:r>
          </w:p>
        </w:tc>
      </w:tr>
      <w:tr w:rsidR="00DA3917" w:rsidRPr="00DA3917" w14:paraId="79F92451" w14:textId="77777777" w:rsidTr="00DA3917">
        <w:trPr>
          <w:trHeight w:val="32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7511C5B8"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2012</w:t>
            </w:r>
          </w:p>
        </w:tc>
        <w:tc>
          <w:tcPr>
            <w:tcW w:w="1200" w:type="dxa"/>
            <w:tcBorders>
              <w:top w:val="nil"/>
              <w:left w:val="nil"/>
              <w:bottom w:val="single" w:sz="4" w:space="0" w:color="auto"/>
              <w:right w:val="single" w:sz="4" w:space="0" w:color="auto"/>
            </w:tcBorders>
            <w:shd w:val="clear" w:color="auto" w:fill="auto"/>
            <w:noWrap/>
            <w:vAlign w:val="bottom"/>
            <w:hideMark/>
          </w:tcPr>
          <w:p w14:paraId="45DB228C"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0.235</w:t>
            </w:r>
          </w:p>
        </w:tc>
        <w:tc>
          <w:tcPr>
            <w:tcW w:w="946" w:type="dxa"/>
            <w:tcBorders>
              <w:top w:val="nil"/>
              <w:left w:val="nil"/>
              <w:bottom w:val="single" w:sz="4" w:space="0" w:color="auto"/>
              <w:right w:val="single" w:sz="4" w:space="0" w:color="auto"/>
            </w:tcBorders>
            <w:shd w:val="clear" w:color="auto" w:fill="auto"/>
            <w:noWrap/>
            <w:vAlign w:val="bottom"/>
            <w:hideMark/>
          </w:tcPr>
          <w:p w14:paraId="02C934B2"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17.4</w:t>
            </w:r>
          </w:p>
        </w:tc>
        <w:tc>
          <w:tcPr>
            <w:tcW w:w="1456" w:type="dxa"/>
            <w:tcBorders>
              <w:top w:val="nil"/>
              <w:left w:val="nil"/>
              <w:bottom w:val="single" w:sz="4" w:space="0" w:color="auto"/>
              <w:right w:val="single" w:sz="4" w:space="0" w:color="auto"/>
            </w:tcBorders>
            <w:shd w:val="clear" w:color="auto" w:fill="auto"/>
            <w:noWrap/>
            <w:vAlign w:val="bottom"/>
            <w:hideMark/>
          </w:tcPr>
          <w:p w14:paraId="7BF7505A"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34.7</w:t>
            </w:r>
          </w:p>
        </w:tc>
        <w:tc>
          <w:tcPr>
            <w:tcW w:w="990" w:type="dxa"/>
            <w:tcBorders>
              <w:top w:val="nil"/>
              <w:left w:val="nil"/>
              <w:bottom w:val="single" w:sz="4" w:space="0" w:color="auto"/>
              <w:right w:val="single" w:sz="4" w:space="0" w:color="auto"/>
            </w:tcBorders>
            <w:shd w:val="clear" w:color="auto" w:fill="auto"/>
            <w:noWrap/>
            <w:vAlign w:val="bottom"/>
            <w:hideMark/>
          </w:tcPr>
          <w:p w14:paraId="59D275AC"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95.1</w:t>
            </w:r>
          </w:p>
        </w:tc>
      </w:tr>
      <w:tr w:rsidR="00DA3917" w:rsidRPr="00DA3917" w14:paraId="3CD96E45" w14:textId="77777777" w:rsidTr="00DA3917">
        <w:trPr>
          <w:trHeight w:val="32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65F339A6"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2013</w:t>
            </w:r>
          </w:p>
        </w:tc>
        <w:tc>
          <w:tcPr>
            <w:tcW w:w="1200" w:type="dxa"/>
            <w:tcBorders>
              <w:top w:val="nil"/>
              <w:left w:val="nil"/>
              <w:bottom w:val="single" w:sz="4" w:space="0" w:color="auto"/>
              <w:right w:val="single" w:sz="4" w:space="0" w:color="auto"/>
            </w:tcBorders>
            <w:shd w:val="clear" w:color="auto" w:fill="auto"/>
            <w:noWrap/>
            <w:vAlign w:val="bottom"/>
            <w:hideMark/>
          </w:tcPr>
          <w:p w14:paraId="3EF789D2"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0.32</w:t>
            </w:r>
          </w:p>
        </w:tc>
        <w:tc>
          <w:tcPr>
            <w:tcW w:w="946" w:type="dxa"/>
            <w:tcBorders>
              <w:top w:val="nil"/>
              <w:left w:val="nil"/>
              <w:bottom w:val="single" w:sz="4" w:space="0" w:color="auto"/>
              <w:right w:val="single" w:sz="4" w:space="0" w:color="auto"/>
            </w:tcBorders>
            <w:shd w:val="clear" w:color="auto" w:fill="auto"/>
            <w:noWrap/>
            <w:vAlign w:val="bottom"/>
            <w:hideMark/>
          </w:tcPr>
          <w:p w14:paraId="396F0213"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18</w:t>
            </w:r>
          </w:p>
        </w:tc>
        <w:tc>
          <w:tcPr>
            <w:tcW w:w="1456" w:type="dxa"/>
            <w:tcBorders>
              <w:top w:val="nil"/>
              <w:left w:val="nil"/>
              <w:bottom w:val="single" w:sz="4" w:space="0" w:color="auto"/>
              <w:right w:val="single" w:sz="4" w:space="0" w:color="auto"/>
            </w:tcBorders>
            <w:shd w:val="clear" w:color="auto" w:fill="auto"/>
            <w:noWrap/>
            <w:vAlign w:val="bottom"/>
            <w:hideMark/>
          </w:tcPr>
          <w:p w14:paraId="72AF62FF"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35.1</w:t>
            </w:r>
          </w:p>
        </w:tc>
        <w:tc>
          <w:tcPr>
            <w:tcW w:w="990" w:type="dxa"/>
            <w:tcBorders>
              <w:top w:val="nil"/>
              <w:left w:val="nil"/>
              <w:bottom w:val="single" w:sz="4" w:space="0" w:color="auto"/>
              <w:right w:val="single" w:sz="4" w:space="0" w:color="auto"/>
            </w:tcBorders>
            <w:shd w:val="clear" w:color="auto" w:fill="auto"/>
            <w:noWrap/>
            <w:vAlign w:val="bottom"/>
            <w:hideMark/>
          </w:tcPr>
          <w:p w14:paraId="4D75D782"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97.4</w:t>
            </w:r>
          </w:p>
        </w:tc>
      </w:tr>
      <w:tr w:rsidR="00DA3917" w:rsidRPr="00DA3917" w14:paraId="064C1668" w14:textId="77777777" w:rsidTr="00DA3917">
        <w:trPr>
          <w:trHeight w:val="32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7C6810F3"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2014</w:t>
            </w:r>
          </w:p>
        </w:tc>
        <w:tc>
          <w:tcPr>
            <w:tcW w:w="1200" w:type="dxa"/>
            <w:tcBorders>
              <w:top w:val="nil"/>
              <w:left w:val="nil"/>
              <w:bottom w:val="single" w:sz="4" w:space="0" w:color="auto"/>
              <w:right w:val="single" w:sz="4" w:space="0" w:color="auto"/>
            </w:tcBorders>
            <w:shd w:val="clear" w:color="auto" w:fill="auto"/>
            <w:noWrap/>
            <w:vAlign w:val="bottom"/>
            <w:hideMark/>
          </w:tcPr>
          <w:p w14:paraId="3F5F29D9"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0.427</w:t>
            </w:r>
          </w:p>
        </w:tc>
        <w:tc>
          <w:tcPr>
            <w:tcW w:w="946" w:type="dxa"/>
            <w:tcBorders>
              <w:top w:val="nil"/>
              <w:left w:val="nil"/>
              <w:bottom w:val="single" w:sz="4" w:space="0" w:color="auto"/>
              <w:right w:val="single" w:sz="4" w:space="0" w:color="auto"/>
            </w:tcBorders>
            <w:shd w:val="clear" w:color="auto" w:fill="auto"/>
            <w:noWrap/>
            <w:vAlign w:val="bottom"/>
            <w:hideMark/>
          </w:tcPr>
          <w:p w14:paraId="40D52F24"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17.9</w:t>
            </w:r>
          </w:p>
        </w:tc>
        <w:tc>
          <w:tcPr>
            <w:tcW w:w="1456" w:type="dxa"/>
            <w:tcBorders>
              <w:top w:val="nil"/>
              <w:left w:val="nil"/>
              <w:bottom w:val="single" w:sz="4" w:space="0" w:color="auto"/>
              <w:right w:val="single" w:sz="4" w:space="0" w:color="auto"/>
            </w:tcBorders>
            <w:shd w:val="clear" w:color="auto" w:fill="auto"/>
            <w:noWrap/>
            <w:vAlign w:val="bottom"/>
            <w:hideMark/>
          </w:tcPr>
          <w:p w14:paraId="4D7E5297"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34.8</w:t>
            </w:r>
          </w:p>
        </w:tc>
        <w:tc>
          <w:tcPr>
            <w:tcW w:w="990" w:type="dxa"/>
            <w:tcBorders>
              <w:top w:val="nil"/>
              <w:left w:val="nil"/>
              <w:bottom w:val="single" w:sz="4" w:space="0" w:color="auto"/>
              <w:right w:val="single" w:sz="4" w:space="0" w:color="auto"/>
            </w:tcBorders>
            <w:shd w:val="clear" w:color="auto" w:fill="auto"/>
            <w:noWrap/>
            <w:vAlign w:val="bottom"/>
            <w:hideMark/>
          </w:tcPr>
          <w:p w14:paraId="023354E2"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98.3</w:t>
            </w:r>
          </w:p>
        </w:tc>
      </w:tr>
      <w:tr w:rsidR="00DA3917" w:rsidRPr="00DA3917" w14:paraId="6D07EAD9" w14:textId="77777777" w:rsidTr="00DA3917">
        <w:trPr>
          <w:trHeight w:val="32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30043F05"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2015</w:t>
            </w:r>
          </w:p>
        </w:tc>
        <w:tc>
          <w:tcPr>
            <w:tcW w:w="1200" w:type="dxa"/>
            <w:tcBorders>
              <w:top w:val="nil"/>
              <w:left w:val="nil"/>
              <w:bottom w:val="single" w:sz="4" w:space="0" w:color="auto"/>
              <w:right w:val="single" w:sz="4" w:space="0" w:color="auto"/>
            </w:tcBorders>
            <w:shd w:val="clear" w:color="auto" w:fill="auto"/>
            <w:noWrap/>
            <w:vAlign w:val="bottom"/>
            <w:hideMark/>
          </w:tcPr>
          <w:p w14:paraId="2DF265DF"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0.426</w:t>
            </w:r>
          </w:p>
        </w:tc>
        <w:tc>
          <w:tcPr>
            <w:tcW w:w="946" w:type="dxa"/>
            <w:tcBorders>
              <w:top w:val="nil"/>
              <w:left w:val="nil"/>
              <w:bottom w:val="single" w:sz="4" w:space="0" w:color="auto"/>
              <w:right w:val="single" w:sz="4" w:space="0" w:color="auto"/>
            </w:tcBorders>
            <w:shd w:val="clear" w:color="auto" w:fill="auto"/>
            <w:noWrap/>
            <w:vAlign w:val="bottom"/>
            <w:hideMark/>
          </w:tcPr>
          <w:p w14:paraId="473AD60B"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15.5</w:t>
            </w:r>
          </w:p>
        </w:tc>
        <w:tc>
          <w:tcPr>
            <w:tcW w:w="1456" w:type="dxa"/>
            <w:tcBorders>
              <w:top w:val="nil"/>
              <w:left w:val="nil"/>
              <w:bottom w:val="single" w:sz="4" w:space="0" w:color="auto"/>
              <w:right w:val="single" w:sz="4" w:space="0" w:color="auto"/>
            </w:tcBorders>
            <w:shd w:val="clear" w:color="auto" w:fill="auto"/>
            <w:noWrap/>
            <w:vAlign w:val="bottom"/>
            <w:hideMark/>
          </w:tcPr>
          <w:p w14:paraId="373244C4"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35.6</w:t>
            </w:r>
          </w:p>
        </w:tc>
        <w:tc>
          <w:tcPr>
            <w:tcW w:w="990" w:type="dxa"/>
            <w:tcBorders>
              <w:top w:val="nil"/>
              <w:left w:val="nil"/>
              <w:bottom w:val="single" w:sz="4" w:space="0" w:color="auto"/>
              <w:right w:val="single" w:sz="4" w:space="0" w:color="auto"/>
            </w:tcBorders>
            <w:shd w:val="clear" w:color="auto" w:fill="auto"/>
            <w:noWrap/>
            <w:vAlign w:val="bottom"/>
            <w:hideMark/>
          </w:tcPr>
          <w:p w14:paraId="1E84F06B"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97.2</w:t>
            </w:r>
          </w:p>
        </w:tc>
      </w:tr>
      <w:tr w:rsidR="00DA3917" w:rsidRPr="00DA3917" w14:paraId="67811895" w14:textId="77777777" w:rsidTr="00DA3917">
        <w:trPr>
          <w:trHeight w:val="320"/>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63C96697"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2016</w:t>
            </w:r>
          </w:p>
        </w:tc>
        <w:tc>
          <w:tcPr>
            <w:tcW w:w="1200" w:type="dxa"/>
            <w:tcBorders>
              <w:top w:val="nil"/>
              <w:left w:val="nil"/>
              <w:bottom w:val="single" w:sz="4" w:space="0" w:color="auto"/>
              <w:right w:val="single" w:sz="4" w:space="0" w:color="auto"/>
            </w:tcBorders>
            <w:shd w:val="clear" w:color="auto" w:fill="auto"/>
            <w:noWrap/>
            <w:vAlign w:val="bottom"/>
            <w:hideMark/>
          </w:tcPr>
          <w:p w14:paraId="40718E17"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0.587</w:t>
            </w:r>
          </w:p>
        </w:tc>
        <w:tc>
          <w:tcPr>
            <w:tcW w:w="946" w:type="dxa"/>
            <w:tcBorders>
              <w:top w:val="nil"/>
              <w:left w:val="nil"/>
              <w:bottom w:val="single" w:sz="4" w:space="0" w:color="auto"/>
              <w:right w:val="single" w:sz="4" w:space="0" w:color="auto"/>
            </w:tcBorders>
            <w:shd w:val="clear" w:color="auto" w:fill="auto"/>
            <w:noWrap/>
            <w:vAlign w:val="bottom"/>
            <w:hideMark/>
          </w:tcPr>
          <w:p w14:paraId="5F64DD06"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14.2</w:t>
            </w:r>
          </w:p>
        </w:tc>
        <w:tc>
          <w:tcPr>
            <w:tcW w:w="1456" w:type="dxa"/>
            <w:tcBorders>
              <w:top w:val="nil"/>
              <w:left w:val="nil"/>
              <w:bottom w:val="single" w:sz="4" w:space="0" w:color="auto"/>
              <w:right w:val="single" w:sz="4" w:space="0" w:color="auto"/>
            </w:tcBorders>
            <w:shd w:val="clear" w:color="auto" w:fill="auto"/>
            <w:noWrap/>
            <w:vAlign w:val="bottom"/>
            <w:hideMark/>
          </w:tcPr>
          <w:p w14:paraId="3B8012C3"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35.9</w:t>
            </w:r>
          </w:p>
        </w:tc>
        <w:tc>
          <w:tcPr>
            <w:tcW w:w="990" w:type="dxa"/>
            <w:tcBorders>
              <w:top w:val="nil"/>
              <w:left w:val="nil"/>
              <w:bottom w:val="single" w:sz="4" w:space="0" w:color="auto"/>
              <w:right w:val="single" w:sz="4" w:space="0" w:color="auto"/>
            </w:tcBorders>
            <w:shd w:val="clear" w:color="auto" w:fill="auto"/>
            <w:noWrap/>
            <w:vAlign w:val="bottom"/>
            <w:hideMark/>
          </w:tcPr>
          <w:p w14:paraId="3B5C85AD"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97.3</w:t>
            </w:r>
          </w:p>
        </w:tc>
      </w:tr>
    </w:tbl>
    <w:p w14:paraId="1473FBDE" w14:textId="77777777" w:rsidR="00DA3917" w:rsidRDefault="00DA3917">
      <w:pPr>
        <w:rPr>
          <w:b/>
          <w:color w:val="000000" w:themeColor="text1"/>
          <w:sz w:val="28"/>
          <w:szCs w:val="28"/>
        </w:rPr>
      </w:pPr>
    </w:p>
    <w:tbl>
      <w:tblPr>
        <w:tblW w:w="4675" w:type="dxa"/>
        <w:tblInd w:w="2164" w:type="dxa"/>
        <w:tblLayout w:type="fixed"/>
        <w:tblLook w:val="04A0" w:firstRow="1" w:lastRow="0" w:firstColumn="1" w:lastColumn="0" w:noHBand="0" w:noVBand="1"/>
      </w:tblPr>
      <w:tblGrid>
        <w:gridCol w:w="911"/>
        <w:gridCol w:w="1107"/>
        <w:gridCol w:w="1320"/>
        <w:gridCol w:w="1337"/>
      </w:tblGrid>
      <w:tr w:rsidR="00DA3917" w:rsidRPr="00DA3917" w14:paraId="76870767" w14:textId="77777777" w:rsidTr="00DA3917">
        <w:trPr>
          <w:trHeight w:val="380"/>
        </w:trPr>
        <w:tc>
          <w:tcPr>
            <w:tcW w:w="46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D501C" w14:textId="77777777" w:rsidR="00DA3917" w:rsidRPr="00DA3917" w:rsidRDefault="00DA3917" w:rsidP="00DA3917">
            <w:pPr>
              <w:jc w:val="center"/>
              <w:rPr>
                <w:rFonts w:ascii="Calibri" w:eastAsia="Times New Roman" w:hAnsi="Calibri" w:cs="Times New Roman"/>
                <w:b/>
                <w:bCs/>
                <w:color w:val="000000"/>
                <w:sz w:val="28"/>
                <w:szCs w:val="28"/>
              </w:rPr>
            </w:pPr>
            <w:r w:rsidRPr="00DA3917">
              <w:rPr>
                <w:rFonts w:ascii="Calibri" w:eastAsia="Times New Roman" w:hAnsi="Calibri" w:cs="Times New Roman"/>
                <w:b/>
                <w:bCs/>
                <w:color w:val="000000"/>
                <w:sz w:val="28"/>
                <w:szCs w:val="28"/>
              </w:rPr>
              <w:t>Percentage of Annual Energy Use by Source</w:t>
            </w:r>
          </w:p>
        </w:tc>
      </w:tr>
      <w:tr w:rsidR="00DA3917" w:rsidRPr="00DA3917" w14:paraId="5B7F88B6" w14:textId="77777777" w:rsidTr="00DA3917">
        <w:trPr>
          <w:trHeight w:val="32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14:paraId="3533F454" w14:textId="77777777" w:rsidR="00DA3917" w:rsidRPr="00DA3917" w:rsidRDefault="00DA3917" w:rsidP="00DA3917">
            <w:pPr>
              <w:rPr>
                <w:rFonts w:ascii="Calibri" w:eastAsia="Times New Roman" w:hAnsi="Calibri" w:cs="Times New Roman"/>
                <w:color w:val="000000"/>
              </w:rPr>
            </w:pPr>
            <w:r w:rsidRPr="00DA3917">
              <w:rPr>
                <w:rFonts w:ascii="Calibri" w:eastAsia="Times New Roman" w:hAnsi="Calibri" w:cs="Times New Roman"/>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14:paraId="25310260" w14:textId="77777777" w:rsidR="00DA3917" w:rsidRPr="00DA3917" w:rsidRDefault="00DA3917" w:rsidP="00DA3917">
            <w:pPr>
              <w:jc w:val="center"/>
              <w:rPr>
                <w:rFonts w:ascii="Calibri" w:eastAsia="Times New Roman" w:hAnsi="Calibri" w:cs="Times New Roman"/>
                <w:color w:val="000000"/>
              </w:rPr>
            </w:pPr>
            <w:r w:rsidRPr="00DA3917">
              <w:rPr>
                <w:rFonts w:ascii="Calibri" w:eastAsia="Times New Roman" w:hAnsi="Calibri" w:cs="Times New Roman"/>
                <w:color w:val="000000"/>
              </w:rPr>
              <w:t>Solar</w:t>
            </w:r>
          </w:p>
        </w:tc>
        <w:tc>
          <w:tcPr>
            <w:tcW w:w="1320" w:type="dxa"/>
            <w:tcBorders>
              <w:top w:val="nil"/>
              <w:left w:val="nil"/>
              <w:bottom w:val="single" w:sz="4" w:space="0" w:color="auto"/>
              <w:right w:val="single" w:sz="4" w:space="0" w:color="auto"/>
            </w:tcBorders>
            <w:shd w:val="clear" w:color="auto" w:fill="auto"/>
            <w:noWrap/>
            <w:vAlign w:val="bottom"/>
            <w:hideMark/>
          </w:tcPr>
          <w:p w14:paraId="6434D7C4" w14:textId="77777777" w:rsidR="00DA3917" w:rsidRPr="00DA3917" w:rsidRDefault="00DA3917" w:rsidP="00DA3917">
            <w:pPr>
              <w:jc w:val="center"/>
              <w:rPr>
                <w:rFonts w:ascii="Calibri" w:eastAsia="Times New Roman" w:hAnsi="Calibri" w:cs="Times New Roman"/>
                <w:color w:val="000000"/>
              </w:rPr>
            </w:pPr>
            <w:r w:rsidRPr="00DA3917">
              <w:rPr>
                <w:rFonts w:ascii="Calibri" w:eastAsia="Times New Roman" w:hAnsi="Calibri" w:cs="Times New Roman"/>
                <w:color w:val="000000"/>
              </w:rPr>
              <w:t>Coal</w:t>
            </w:r>
          </w:p>
        </w:tc>
        <w:tc>
          <w:tcPr>
            <w:tcW w:w="1337" w:type="dxa"/>
            <w:tcBorders>
              <w:top w:val="nil"/>
              <w:left w:val="nil"/>
              <w:bottom w:val="single" w:sz="4" w:space="0" w:color="auto"/>
              <w:right w:val="single" w:sz="4" w:space="0" w:color="auto"/>
            </w:tcBorders>
            <w:shd w:val="clear" w:color="auto" w:fill="auto"/>
            <w:noWrap/>
            <w:vAlign w:val="bottom"/>
            <w:hideMark/>
          </w:tcPr>
          <w:p w14:paraId="5A467190" w14:textId="77777777" w:rsidR="00DA3917" w:rsidRPr="00DA3917" w:rsidRDefault="00DA3917" w:rsidP="00DA3917">
            <w:pPr>
              <w:jc w:val="center"/>
              <w:rPr>
                <w:rFonts w:ascii="Calibri" w:eastAsia="Times New Roman" w:hAnsi="Calibri" w:cs="Times New Roman"/>
                <w:color w:val="000000"/>
              </w:rPr>
            </w:pPr>
            <w:r w:rsidRPr="00DA3917">
              <w:rPr>
                <w:rFonts w:ascii="Calibri" w:eastAsia="Times New Roman" w:hAnsi="Calibri" w:cs="Times New Roman"/>
                <w:color w:val="000000"/>
              </w:rPr>
              <w:t>Petroleum</w:t>
            </w:r>
          </w:p>
        </w:tc>
      </w:tr>
      <w:tr w:rsidR="00DA3917" w:rsidRPr="00DA3917" w14:paraId="7CA0EA2C" w14:textId="77777777" w:rsidTr="00DA3917">
        <w:trPr>
          <w:trHeight w:val="32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14:paraId="46ACA16F"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2012</w:t>
            </w:r>
          </w:p>
        </w:tc>
        <w:tc>
          <w:tcPr>
            <w:tcW w:w="1107" w:type="dxa"/>
            <w:tcBorders>
              <w:top w:val="nil"/>
              <w:left w:val="nil"/>
              <w:bottom w:val="single" w:sz="4" w:space="0" w:color="auto"/>
              <w:right w:val="single" w:sz="4" w:space="0" w:color="auto"/>
            </w:tcBorders>
            <w:shd w:val="clear" w:color="auto" w:fill="auto"/>
            <w:noWrap/>
            <w:vAlign w:val="bottom"/>
            <w:hideMark/>
          </w:tcPr>
          <w:p w14:paraId="67B9E7B4"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0.25%</w:t>
            </w:r>
          </w:p>
        </w:tc>
        <w:tc>
          <w:tcPr>
            <w:tcW w:w="1320" w:type="dxa"/>
            <w:tcBorders>
              <w:top w:val="nil"/>
              <w:left w:val="nil"/>
              <w:bottom w:val="single" w:sz="4" w:space="0" w:color="auto"/>
              <w:right w:val="single" w:sz="4" w:space="0" w:color="auto"/>
            </w:tcBorders>
            <w:shd w:val="clear" w:color="auto" w:fill="auto"/>
            <w:noWrap/>
            <w:vAlign w:val="bottom"/>
            <w:hideMark/>
          </w:tcPr>
          <w:p w14:paraId="61FAD010"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18.30%</w:t>
            </w:r>
          </w:p>
        </w:tc>
        <w:tc>
          <w:tcPr>
            <w:tcW w:w="1337" w:type="dxa"/>
            <w:tcBorders>
              <w:top w:val="nil"/>
              <w:left w:val="nil"/>
              <w:bottom w:val="single" w:sz="4" w:space="0" w:color="auto"/>
              <w:right w:val="single" w:sz="4" w:space="0" w:color="auto"/>
            </w:tcBorders>
            <w:shd w:val="clear" w:color="auto" w:fill="auto"/>
            <w:noWrap/>
            <w:vAlign w:val="bottom"/>
            <w:hideMark/>
          </w:tcPr>
          <w:p w14:paraId="6E0CD053"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36.49%</w:t>
            </w:r>
          </w:p>
        </w:tc>
      </w:tr>
      <w:tr w:rsidR="00DA3917" w:rsidRPr="00DA3917" w14:paraId="2735E885" w14:textId="77777777" w:rsidTr="00DA3917">
        <w:trPr>
          <w:trHeight w:val="32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14:paraId="44449B16"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2013</w:t>
            </w:r>
          </w:p>
        </w:tc>
        <w:tc>
          <w:tcPr>
            <w:tcW w:w="1107" w:type="dxa"/>
            <w:tcBorders>
              <w:top w:val="nil"/>
              <w:left w:val="nil"/>
              <w:bottom w:val="single" w:sz="4" w:space="0" w:color="auto"/>
              <w:right w:val="single" w:sz="4" w:space="0" w:color="auto"/>
            </w:tcBorders>
            <w:shd w:val="clear" w:color="auto" w:fill="auto"/>
            <w:noWrap/>
            <w:vAlign w:val="bottom"/>
            <w:hideMark/>
          </w:tcPr>
          <w:p w14:paraId="16FE73A3"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0.33%</w:t>
            </w:r>
          </w:p>
        </w:tc>
        <w:tc>
          <w:tcPr>
            <w:tcW w:w="1320" w:type="dxa"/>
            <w:tcBorders>
              <w:top w:val="nil"/>
              <w:left w:val="nil"/>
              <w:bottom w:val="single" w:sz="4" w:space="0" w:color="auto"/>
              <w:right w:val="single" w:sz="4" w:space="0" w:color="auto"/>
            </w:tcBorders>
            <w:shd w:val="clear" w:color="auto" w:fill="auto"/>
            <w:noWrap/>
            <w:vAlign w:val="bottom"/>
            <w:hideMark/>
          </w:tcPr>
          <w:p w14:paraId="3AA6E31F"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18.48%</w:t>
            </w:r>
          </w:p>
        </w:tc>
        <w:tc>
          <w:tcPr>
            <w:tcW w:w="1337" w:type="dxa"/>
            <w:tcBorders>
              <w:top w:val="nil"/>
              <w:left w:val="nil"/>
              <w:bottom w:val="single" w:sz="4" w:space="0" w:color="auto"/>
              <w:right w:val="single" w:sz="4" w:space="0" w:color="auto"/>
            </w:tcBorders>
            <w:shd w:val="clear" w:color="auto" w:fill="auto"/>
            <w:noWrap/>
            <w:vAlign w:val="bottom"/>
            <w:hideMark/>
          </w:tcPr>
          <w:p w14:paraId="2F63EADD"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36.04%</w:t>
            </w:r>
          </w:p>
        </w:tc>
      </w:tr>
      <w:tr w:rsidR="00DA3917" w:rsidRPr="00DA3917" w14:paraId="79E7797C" w14:textId="77777777" w:rsidTr="00DA3917">
        <w:trPr>
          <w:trHeight w:val="32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14:paraId="5A25EDB0"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2014</w:t>
            </w:r>
          </w:p>
        </w:tc>
        <w:tc>
          <w:tcPr>
            <w:tcW w:w="1107" w:type="dxa"/>
            <w:tcBorders>
              <w:top w:val="nil"/>
              <w:left w:val="nil"/>
              <w:bottom w:val="single" w:sz="4" w:space="0" w:color="auto"/>
              <w:right w:val="single" w:sz="4" w:space="0" w:color="auto"/>
            </w:tcBorders>
            <w:shd w:val="clear" w:color="auto" w:fill="auto"/>
            <w:noWrap/>
            <w:vAlign w:val="bottom"/>
            <w:hideMark/>
          </w:tcPr>
          <w:p w14:paraId="7C1C5BB1"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0.43%</w:t>
            </w:r>
          </w:p>
        </w:tc>
        <w:tc>
          <w:tcPr>
            <w:tcW w:w="1320" w:type="dxa"/>
            <w:tcBorders>
              <w:top w:val="nil"/>
              <w:left w:val="nil"/>
              <w:bottom w:val="single" w:sz="4" w:space="0" w:color="auto"/>
              <w:right w:val="single" w:sz="4" w:space="0" w:color="auto"/>
            </w:tcBorders>
            <w:shd w:val="clear" w:color="auto" w:fill="auto"/>
            <w:noWrap/>
            <w:vAlign w:val="bottom"/>
            <w:hideMark/>
          </w:tcPr>
          <w:p w14:paraId="66F67E93"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18.21%</w:t>
            </w:r>
          </w:p>
        </w:tc>
        <w:tc>
          <w:tcPr>
            <w:tcW w:w="1337" w:type="dxa"/>
            <w:tcBorders>
              <w:top w:val="nil"/>
              <w:left w:val="nil"/>
              <w:bottom w:val="single" w:sz="4" w:space="0" w:color="auto"/>
              <w:right w:val="single" w:sz="4" w:space="0" w:color="auto"/>
            </w:tcBorders>
            <w:shd w:val="clear" w:color="auto" w:fill="auto"/>
            <w:noWrap/>
            <w:vAlign w:val="bottom"/>
            <w:hideMark/>
          </w:tcPr>
          <w:p w14:paraId="1962AF30"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35.40%</w:t>
            </w:r>
          </w:p>
        </w:tc>
      </w:tr>
      <w:tr w:rsidR="00DA3917" w:rsidRPr="00DA3917" w14:paraId="13719DE1" w14:textId="77777777" w:rsidTr="00DA3917">
        <w:trPr>
          <w:trHeight w:val="32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14:paraId="402C7AF7"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2015</w:t>
            </w:r>
          </w:p>
        </w:tc>
        <w:tc>
          <w:tcPr>
            <w:tcW w:w="1107" w:type="dxa"/>
            <w:tcBorders>
              <w:top w:val="nil"/>
              <w:left w:val="nil"/>
              <w:bottom w:val="single" w:sz="4" w:space="0" w:color="auto"/>
              <w:right w:val="single" w:sz="4" w:space="0" w:color="auto"/>
            </w:tcBorders>
            <w:shd w:val="clear" w:color="auto" w:fill="auto"/>
            <w:noWrap/>
            <w:vAlign w:val="bottom"/>
            <w:hideMark/>
          </w:tcPr>
          <w:p w14:paraId="05762562"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0.44%</w:t>
            </w:r>
          </w:p>
        </w:tc>
        <w:tc>
          <w:tcPr>
            <w:tcW w:w="1320" w:type="dxa"/>
            <w:tcBorders>
              <w:top w:val="nil"/>
              <w:left w:val="nil"/>
              <w:bottom w:val="single" w:sz="4" w:space="0" w:color="auto"/>
              <w:right w:val="single" w:sz="4" w:space="0" w:color="auto"/>
            </w:tcBorders>
            <w:shd w:val="clear" w:color="auto" w:fill="auto"/>
            <w:noWrap/>
            <w:vAlign w:val="bottom"/>
            <w:hideMark/>
          </w:tcPr>
          <w:p w14:paraId="2084D74D"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15.95%</w:t>
            </w:r>
          </w:p>
        </w:tc>
        <w:tc>
          <w:tcPr>
            <w:tcW w:w="1337" w:type="dxa"/>
            <w:tcBorders>
              <w:top w:val="nil"/>
              <w:left w:val="nil"/>
              <w:bottom w:val="single" w:sz="4" w:space="0" w:color="auto"/>
              <w:right w:val="single" w:sz="4" w:space="0" w:color="auto"/>
            </w:tcBorders>
            <w:shd w:val="clear" w:color="auto" w:fill="auto"/>
            <w:noWrap/>
            <w:vAlign w:val="bottom"/>
            <w:hideMark/>
          </w:tcPr>
          <w:p w14:paraId="23446F61"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36.63%</w:t>
            </w:r>
          </w:p>
        </w:tc>
      </w:tr>
      <w:tr w:rsidR="00DA3917" w:rsidRPr="00DA3917" w14:paraId="5BE9CABD" w14:textId="77777777" w:rsidTr="00DA3917">
        <w:trPr>
          <w:trHeight w:val="32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14:paraId="08C278B7"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2016</w:t>
            </w:r>
          </w:p>
        </w:tc>
        <w:tc>
          <w:tcPr>
            <w:tcW w:w="1107" w:type="dxa"/>
            <w:tcBorders>
              <w:top w:val="nil"/>
              <w:left w:val="nil"/>
              <w:bottom w:val="single" w:sz="4" w:space="0" w:color="auto"/>
              <w:right w:val="single" w:sz="4" w:space="0" w:color="auto"/>
            </w:tcBorders>
            <w:shd w:val="clear" w:color="auto" w:fill="auto"/>
            <w:noWrap/>
            <w:vAlign w:val="bottom"/>
            <w:hideMark/>
          </w:tcPr>
          <w:p w14:paraId="279DABE5"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0.60%</w:t>
            </w:r>
          </w:p>
        </w:tc>
        <w:tc>
          <w:tcPr>
            <w:tcW w:w="1320" w:type="dxa"/>
            <w:tcBorders>
              <w:top w:val="nil"/>
              <w:left w:val="nil"/>
              <w:bottom w:val="single" w:sz="4" w:space="0" w:color="auto"/>
              <w:right w:val="single" w:sz="4" w:space="0" w:color="auto"/>
            </w:tcBorders>
            <w:shd w:val="clear" w:color="auto" w:fill="auto"/>
            <w:noWrap/>
            <w:vAlign w:val="bottom"/>
            <w:hideMark/>
          </w:tcPr>
          <w:p w14:paraId="66D8387F"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14.59%</w:t>
            </w:r>
          </w:p>
        </w:tc>
        <w:tc>
          <w:tcPr>
            <w:tcW w:w="1337" w:type="dxa"/>
            <w:tcBorders>
              <w:top w:val="nil"/>
              <w:left w:val="nil"/>
              <w:bottom w:val="single" w:sz="4" w:space="0" w:color="auto"/>
              <w:right w:val="single" w:sz="4" w:space="0" w:color="auto"/>
            </w:tcBorders>
            <w:shd w:val="clear" w:color="auto" w:fill="auto"/>
            <w:noWrap/>
            <w:vAlign w:val="bottom"/>
            <w:hideMark/>
          </w:tcPr>
          <w:p w14:paraId="0FFC44D8"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36.90%</w:t>
            </w:r>
          </w:p>
        </w:tc>
      </w:tr>
    </w:tbl>
    <w:p w14:paraId="5E990B0E" w14:textId="77777777" w:rsidR="00DA3917" w:rsidRDefault="00DA3917">
      <w:pPr>
        <w:rPr>
          <w:b/>
          <w:color w:val="000000" w:themeColor="text1"/>
          <w:sz w:val="28"/>
          <w:szCs w:val="28"/>
        </w:rPr>
      </w:pPr>
    </w:p>
    <w:tbl>
      <w:tblPr>
        <w:tblW w:w="4501" w:type="dxa"/>
        <w:tblInd w:w="2344" w:type="dxa"/>
        <w:tblLook w:val="04A0" w:firstRow="1" w:lastRow="0" w:firstColumn="1" w:lastColumn="0" w:noHBand="0" w:noVBand="1"/>
      </w:tblPr>
      <w:tblGrid>
        <w:gridCol w:w="950"/>
        <w:gridCol w:w="1154"/>
        <w:gridCol w:w="1154"/>
        <w:gridCol w:w="1243"/>
      </w:tblGrid>
      <w:tr w:rsidR="00DA3917" w:rsidRPr="00DA3917" w14:paraId="2085A1F2" w14:textId="77777777" w:rsidTr="00DA3917">
        <w:trPr>
          <w:trHeight w:val="720"/>
        </w:trPr>
        <w:tc>
          <w:tcPr>
            <w:tcW w:w="4501"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7C6096C9" w14:textId="74B5F105" w:rsidR="00DA3917" w:rsidRPr="00DA3917" w:rsidRDefault="00DA3917" w:rsidP="00DA3917">
            <w:pPr>
              <w:jc w:val="center"/>
              <w:rPr>
                <w:rFonts w:ascii="Calibri" w:eastAsia="Times New Roman" w:hAnsi="Calibri" w:cs="Times New Roman"/>
                <w:b/>
                <w:bCs/>
                <w:color w:val="000000"/>
                <w:sz w:val="28"/>
                <w:szCs w:val="28"/>
              </w:rPr>
            </w:pPr>
            <w:r w:rsidRPr="00DA3917">
              <w:rPr>
                <w:rFonts w:ascii="Calibri" w:eastAsia="Times New Roman" w:hAnsi="Calibri" w:cs="Times New Roman"/>
                <w:b/>
                <w:bCs/>
                <w:color w:val="000000"/>
                <w:sz w:val="28"/>
                <w:szCs w:val="28"/>
              </w:rPr>
              <w:t>Percentage of 5-Year Cumulative Energy Use by Source</w:t>
            </w:r>
          </w:p>
        </w:tc>
      </w:tr>
      <w:tr w:rsidR="00DA3917" w:rsidRPr="00DA3917" w14:paraId="4CAE849E" w14:textId="77777777" w:rsidTr="00DA3917">
        <w:trPr>
          <w:trHeight w:val="32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14:paraId="41A27D62" w14:textId="77777777" w:rsidR="00DA3917" w:rsidRPr="00DA3917" w:rsidRDefault="00DA3917" w:rsidP="00DA3917">
            <w:pPr>
              <w:rPr>
                <w:rFonts w:ascii="Calibri" w:eastAsia="Times New Roman" w:hAnsi="Calibri" w:cs="Times New Roman"/>
                <w:color w:val="000000"/>
              </w:rPr>
            </w:pPr>
            <w:r w:rsidRPr="00DA3917">
              <w:rPr>
                <w:rFonts w:ascii="Calibri" w:eastAsia="Times New Roman" w:hAnsi="Calibri" w:cs="Times New Roman"/>
                <w:color w:val="000000"/>
              </w:rPr>
              <w:t> </w:t>
            </w:r>
          </w:p>
        </w:tc>
        <w:tc>
          <w:tcPr>
            <w:tcW w:w="1154" w:type="dxa"/>
            <w:tcBorders>
              <w:top w:val="nil"/>
              <w:left w:val="nil"/>
              <w:bottom w:val="single" w:sz="4" w:space="0" w:color="auto"/>
              <w:right w:val="single" w:sz="4" w:space="0" w:color="auto"/>
            </w:tcBorders>
            <w:shd w:val="clear" w:color="auto" w:fill="auto"/>
            <w:noWrap/>
            <w:vAlign w:val="bottom"/>
            <w:hideMark/>
          </w:tcPr>
          <w:p w14:paraId="11B0E27C" w14:textId="77777777" w:rsidR="00DA3917" w:rsidRPr="00DA3917" w:rsidRDefault="00DA3917" w:rsidP="00DA3917">
            <w:pPr>
              <w:jc w:val="center"/>
              <w:rPr>
                <w:rFonts w:ascii="Calibri" w:eastAsia="Times New Roman" w:hAnsi="Calibri" w:cs="Times New Roman"/>
                <w:color w:val="000000"/>
              </w:rPr>
            </w:pPr>
            <w:r w:rsidRPr="00DA3917">
              <w:rPr>
                <w:rFonts w:ascii="Calibri" w:eastAsia="Times New Roman" w:hAnsi="Calibri" w:cs="Times New Roman"/>
                <w:color w:val="000000"/>
              </w:rPr>
              <w:t>Solar</w:t>
            </w:r>
          </w:p>
        </w:tc>
        <w:tc>
          <w:tcPr>
            <w:tcW w:w="1154" w:type="dxa"/>
            <w:tcBorders>
              <w:top w:val="nil"/>
              <w:left w:val="nil"/>
              <w:bottom w:val="single" w:sz="4" w:space="0" w:color="auto"/>
              <w:right w:val="single" w:sz="4" w:space="0" w:color="auto"/>
            </w:tcBorders>
            <w:shd w:val="clear" w:color="auto" w:fill="auto"/>
            <w:noWrap/>
            <w:vAlign w:val="bottom"/>
            <w:hideMark/>
          </w:tcPr>
          <w:p w14:paraId="49ED6645" w14:textId="77777777" w:rsidR="00DA3917" w:rsidRPr="00DA3917" w:rsidRDefault="00DA3917" w:rsidP="00DA3917">
            <w:pPr>
              <w:jc w:val="center"/>
              <w:rPr>
                <w:rFonts w:ascii="Calibri" w:eastAsia="Times New Roman" w:hAnsi="Calibri" w:cs="Times New Roman"/>
                <w:color w:val="000000"/>
              </w:rPr>
            </w:pPr>
            <w:r w:rsidRPr="00DA3917">
              <w:rPr>
                <w:rFonts w:ascii="Calibri" w:eastAsia="Times New Roman" w:hAnsi="Calibri" w:cs="Times New Roman"/>
                <w:color w:val="000000"/>
              </w:rPr>
              <w:t>Coal</w:t>
            </w:r>
          </w:p>
        </w:tc>
        <w:tc>
          <w:tcPr>
            <w:tcW w:w="1243" w:type="dxa"/>
            <w:tcBorders>
              <w:top w:val="nil"/>
              <w:left w:val="nil"/>
              <w:bottom w:val="single" w:sz="4" w:space="0" w:color="auto"/>
              <w:right w:val="single" w:sz="4" w:space="0" w:color="auto"/>
            </w:tcBorders>
            <w:shd w:val="clear" w:color="auto" w:fill="auto"/>
            <w:noWrap/>
            <w:vAlign w:val="bottom"/>
            <w:hideMark/>
          </w:tcPr>
          <w:p w14:paraId="337939E3" w14:textId="77777777" w:rsidR="00DA3917" w:rsidRPr="00DA3917" w:rsidRDefault="00DA3917" w:rsidP="00DA3917">
            <w:pPr>
              <w:jc w:val="center"/>
              <w:rPr>
                <w:rFonts w:ascii="Calibri" w:eastAsia="Times New Roman" w:hAnsi="Calibri" w:cs="Times New Roman"/>
                <w:color w:val="000000"/>
              </w:rPr>
            </w:pPr>
            <w:r w:rsidRPr="00DA3917">
              <w:rPr>
                <w:rFonts w:ascii="Calibri" w:eastAsia="Times New Roman" w:hAnsi="Calibri" w:cs="Times New Roman"/>
                <w:color w:val="000000"/>
              </w:rPr>
              <w:t>Petroleum</w:t>
            </w:r>
          </w:p>
        </w:tc>
      </w:tr>
      <w:tr w:rsidR="00DA3917" w:rsidRPr="00DA3917" w14:paraId="0DE0628E" w14:textId="77777777" w:rsidTr="00DA3917">
        <w:trPr>
          <w:trHeight w:val="32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14:paraId="5E22825B"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2012</w:t>
            </w:r>
          </w:p>
        </w:tc>
        <w:tc>
          <w:tcPr>
            <w:tcW w:w="1154" w:type="dxa"/>
            <w:tcBorders>
              <w:top w:val="nil"/>
              <w:left w:val="nil"/>
              <w:bottom w:val="single" w:sz="4" w:space="0" w:color="auto"/>
              <w:right w:val="single" w:sz="4" w:space="0" w:color="auto"/>
            </w:tcBorders>
            <w:shd w:val="clear" w:color="auto" w:fill="auto"/>
            <w:noWrap/>
            <w:vAlign w:val="bottom"/>
            <w:hideMark/>
          </w:tcPr>
          <w:p w14:paraId="6CEFB88B"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0.05%</w:t>
            </w:r>
          </w:p>
        </w:tc>
        <w:tc>
          <w:tcPr>
            <w:tcW w:w="1154" w:type="dxa"/>
            <w:tcBorders>
              <w:top w:val="nil"/>
              <w:left w:val="nil"/>
              <w:bottom w:val="single" w:sz="4" w:space="0" w:color="auto"/>
              <w:right w:val="single" w:sz="4" w:space="0" w:color="auto"/>
            </w:tcBorders>
            <w:shd w:val="clear" w:color="auto" w:fill="auto"/>
            <w:noWrap/>
            <w:vAlign w:val="bottom"/>
            <w:hideMark/>
          </w:tcPr>
          <w:p w14:paraId="4387A462"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3.59%</w:t>
            </w:r>
          </w:p>
        </w:tc>
        <w:tc>
          <w:tcPr>
            <w:tcW w:w="1243" w:type="dxa"/>
            <w:tcBorders>
              <w:top w:val="nil"/>
              <w:left w:val="nil"/>
              <w:bottom w:val="single" w:sz="4" w:space="0" w:color="auto"/>
              <w:right w:val="single" w:sz="4" w:space="0" w:color="auto"/>
            </w:tcBorders>
            <w:shd w:val="clear" w:color="auto" w:fill="auto"/>
            <w:noWrap/>
            <w:vAlign w:val="bottom"/>
            <w:hideMark/>
          </w:tcPr>
          <w:p w14:paraId="45BA0F0E"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7.15%</w:t>
            </w:r>
          </w:p>
        </w:tc>
      </w:tr>
      <w:tr w:rsidR="00DA3917" w:rsidRPr="00DA3917" w14:paraId="3B109AC7" w14:textId="77777777" w:rsidTr="00DA3917">
        <w:trPr>
          <w:trHeight w:val="32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14:paraId="7431AC96"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2013</w:t>
            </w:r>
          </w:p>
        </w:tc>
        <w:tc>
          <w:tcPr>
            <w:tcW w:w="1154" w:type="dxa"/>
            <w:tcBorders>
              <w:top w:val="nil"/>
              <w:left w:val="nil"/>
              <w:bottom w:val="single" w:sz="4" w:space="0" w:color="auto"/>
              <w:right w:val="single" w:sz="4" w:space="0" w:color="auto"/>
            </w:tcBorders>
            <w:shd w:val="clear" w:color="auto" w:fill="auto"/>
            <w:noWrap/>
            <w:vAlign w:val="bottom"/>
            <w:hideMark/>
          </w:tcPr>
          <w:p w14:paraId="30B6EFE1"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0.07%</w:t>
            </w:r>
          </w:p>
        </w:tc>
        <w:tc>
          <w:tcPr>
            <w:tcW w:w="1154" w:type="dxa"/>
            <w:tcBorders>
              <w:top w:val="nil"/>
              <w:left w:val="nil"/>
              <w:bottom w:val="single" w:sz="4" w:space="0" w:color="auto"/>
              <w:right w:val="single" w:sz="4" w:space="0" w:color="auto"/>
            </w:tcBorders>
            <w:shd w:val="clear" w:color="auto" w:fill="auto"/>
            <w:noWrap/>
            <w:vAlign w:val="bottom"/>
            <w:hideMark/>
          </w:tcPr>
          <w:p w14:paraId="751D481A"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3.71%</w:t>
            </w:r>
          </w:p>
        </w:tc>
        <w:tc>
          <w:tcPr>
            <w:tcW w:w="1243" w:type="dxa"/>
            <w:tcBorders>
              <w:top w:val="nil"/>
              <w:left w:val="nil"/>
              <w:bottom w:val="single" w:sz="4" w:space="0" w:color="auto"/>
              <w:right w:val="single" w:sz="4" w:space="0" w:color="auto"/>
            </w:tcBorders>
            <w:shd w:val="clear" w:color="auto" w:fill="auto"/>
            <w:noWrap/>
            <w:vAlign w:val="bottom"/>
            <w:hideMark/>
          </w:tcPr>
          <w:p w14:paraId="7F640494"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7.23%</w:t>
            </w:r>
          </w:p>
        </w:tc>
      </w:tr>
      <w:tr w:rsidR="00DA3917" w:rsidRPr="00DA3917" w14:paraId="318BC7F3" w14:textId="77777777" w:rsidTr="00DA3917">
        <w:trPr>
          <w:trHeight w:val="32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14:paraId="070E8542"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2014</w:t>
            </w:r>
          </w:p>
        </w:tc>
        <w:tc>
          <w:tcPr>
            <w:tcW w:w="1154" w:type="dxa"/>
            <w:tcBorders>
              <w:top w:val="nil"/>
              <w:left w:val="nil"/>
              <w:bottom w:val="single" w:sz="4" w:space="0" w:color="auto"/>
              <w:right w:val="single" w:sz="4" w:space="0" w:color="auto"/>
            </w:tcBorders>
            <w:shd w:val="clear" w:color="auto" w:fill="auto"/>
            <w:noWrap/>
            <w:vAlign w:val="bottom"/>
            <w:hideMark/>
          </w:tcPr>
          <w:p w14:paraId="531AFAF5"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0.09%</w:t>
            </w:r>
          </w:p>
        </w:tc>
        <w:tc>
          <w:tcPr>
            <w:tcW w:w="1154" w:type="dxa"/>
            <w:tcBorders>
              <w:top w:val="nil"/>
              <w:left w:val="nil"/>
              <w:bottom w:val="single" w:sz="4" w:space="0" w:color="auto"/>
              <w:right w:val="single" w:sz="4" w:space="0" w:color="auto"/>
            </w:tcBorders>
            <w:shd w:val="clear" w:color="auto" w:fill="auto"/>
            <w:noWrap/>
            <w:vAlign w:val="bottom"/>
            <w:hideMark/>
          </w:tcPr>
          <w:p w14:paraId="4D1A7BDE"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3.69%</w:t>
            </w:r>
          </w:p>
        </w:tc>
        <w:tc>
          <w:tcPr>
            <w:tcW w:w="1243" w:type="dxa"/>
            <w:tcBorders>
              <w:top w:val="nil"/>
              <w:left w:val="nil"/>
              <w:bottom w:val="single" w:sz="4" w:space="0" w:color="auto"/>
              <w:right w:val="single" w:sz="4" w:space="0" w:color="auto"/>
            </w:tcBorders>
            <w:shd w:val="clear" w:color="auto" w:fill="auto"/>
            <w:noWrap/>
            <w:vAlign w:val="bottom"/>
            <w:hideMark/>
          </w:tcPr>
          <w:p w14:paraId="0C0EDEF3"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7.17%</w:t>
            </w:r>
          </w:p>
        </w:tc>
      </w:tr>
      <w:tr w:rsidR="00DA3917" w:rsidRPr="00DA3917" w14:paraId="440E8D71" w14:textId="77777777" w:rsidTr="00DA3917">
        <w:trPr>
          <w:trHeight w:val="32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14:paraId="5A828D8B"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2015</w:t>
            </w:r>
          </w:p>
        </w:tc>
        <w:tc>
          <w:tcPr>
            <w:tcW w:w="1154" w:type="dxa"/>
            <w:tcBorders>
              <w:top w:val="nil"/>
              <w:left w:val="nil"/>
              <w:bottom w:val="single" w:sz="4" w:space="0" w:color="auto"/>
              <w:right w:val="single" w:sz="4" w:space="0" w:color="auto"/>
            </w:tcBorders>
            <w:shd w:val="clear" w:color="auto" w:fill="auto"/>
            <w:noWrap/>
            <w:vAlign w:val="bottom"/>
            <w:hideMark/>
          </w:tcPr>
          <w:p w14:paraId="5D7CE649"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0.09%</w:t>
            </w:r>
          </w:p>
        </w:tc>
        <w:tc>
          <w:tcPr>
            <w:tcW w:w="1154" w:type="dxa"/>
            <w:tcBorders>
              <w:top w:val="nil"/>
              <w:left w:val="nil"/>
              <w:bottom w:val="single" w:sz="4" w:space="0" w:color="auto"/>
              <w:right w:val="single" w:sz="4" w:space="0" w:color="auto"/>
            </w:tcBorders>
            <w:shd w:val="clear" w:color="auto" w:fill="auto"/>
            <w:noWrap/>
            <w:vAlign w:val="bottom"/>
            <w:hideMark/>
          </w:tcPr>
          <w:p w14:paraId="1B9B61BA"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3.19%</w:t>
            </w:r>
          </w:p>
        </w:tc>
        <w:tc>
          <w:tcPr>
            <w:tcW w:w="1243" w:type="dxa"/>
            <w:tcBorders>
              <w:top w:val="nil"/>
              <w:left w:val="nil"/>
              <w:bottom w:val="single" w:sz="4" w:space="0" w:color="auto"/>
              <w:right w:val="single" w:sz="4" w:space="0" w:color="auto"/>
            </w:tcBorders>
            <w:shd w:val="clear" w:color="auto" w:fill="auto"/>
            <w:noWrap/>
            <w:vAlign w:val="bottom"/>
            <w:hideMark/>
          </w:tcPr>
          <w:p w14:paraId="3300E2EE"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7.34%</w:t>
            </w:r>
          </w:p>
        </w:tc>
      </w:tr>
      <w:tr w:rsidR="00DA3917" w:rsidRPr="00DA3917" w14:paraId="1E9A4058" w14:textId="77777777" w:rsidTr="00DA3917">
        <w:trPr>
          <w:trHeight w:val="32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14:paraId="7D54FEBD"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2016</w:t>
            </w:r>
          </w:p>
        </w:tc>
        <w:tc>
          <w:tcPr>
            <w:tcW w:w="1154" w:type="dxa"/>
            <w:tcBorders>
              <w:top w:val="nil"/>
              <w:left w:val="nil"/>
              <w:bottom w:val="single" w:sz="4" w:space="0" w:color="auto"/>
              <w:right w:val="single" w:sz="4" w:space="0" w:color="auto"/>
            </w:tcBorders>
            <w:shd w:val="clear" w:color="auto" w:fill="auto"/>
            <w:noWrap/>
            <w:vAlign w:val="bottom"/>
            <w:hideMark/>
          </w:tcPr>
          <w:p w14:paraId="40BD9EEF"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0.12%</w:t>
            </w:r>
          </w:p>
        </w:tc>
        <w:tc>
          <w:tcPr>
            <w:tcW w:w="1154" w:type="dxa"/>
            <w:tcBorders>
              <w:top w:val="nil"/>
              <w:left w:val="nil"/>
              <w:bottom w:val="single" w:sz="4" w:space="0" w:color="auto"/>
              <w:right w:val="single" w:sz="4" w:space="0" w:color="auto"/>
            </w:tcBorders>
            <w:shd w:val="clear" w:color="auto" w:fill="auto"/>
            <w:noWrap/>
            <w:vAlign w:val="bottom"/>
            <w:hideMark/>
          </w:tcPr>
          <w:p w14:paraId="4586FD7B"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2.93%</w:t>
            </w:r>
          </w:p>
        </w:tc>
        <w:tc>
          <w:tcPr>
            <w:tcW w:w="1243" w:type="dxa"/>
            <w:tcBorders>
              <w:top w:val="nil"/>
              <w:left w:val="nil"/>
              <w:bottom w:val="single" w:sz="4" w:space="0" w:color="auto"/>
              <w:right w:val="single" w:sz="4" w:space="0" w:color="auto"/>
            </w:tcBorders>
            <w:shd w:val="clear" w:color="auto" w:fill="auto"/>
            <w:noWrap/>
            <w:vAlign w:val="bottom"/>
            <w:hideMark/>
          </w:tcPr>
          <w:p w14:paraId="66B73C89" w14:textId="77777777" w:rsidR="00DA3917" w:rsidRPr="00DA3917" w:rsidRDefault="00DA3917" w:rsidP="00DA3917">
            <w:pPr>
              <w:jc w:val="right"/>
              <w:rPr>
                <w:rFonts w:ascii="Calibri" w:eastAsia="Times New Roman" w:hAnsi="Calibri" w:cs="Times New Roman"/>
                <w:color w:val="000000"/>
              </w:rPr>
            </w:pPr>
            <w:r w:rsidRPr="00DA3917">
              <w:rPr>
                <w:rFonts w:ascii="Calibri" w:eastAsia="Times New Roman" w:hAnsi="Calibri" w:cs="Times New Roman"/>
                <w:color w:val="000000"/>
              </w:rPr>
              <w:t>7.40%</w:t>
            </w:r>
          </w:p>
        </w:tc>
      </w:tr>
    </w:tbl>
    <w:p w14:paraId="33139E4F" w14:textId="77777777" w:rsidR="00DA3917" w:rsidRDefault="00DA3917">
      <w:pPr>
        <w:rPr>
          <w:b/>
          <w:color w:val="000000" w:themeColor="text1"/>
          <w:sz w:val="28"/>
          <w:szCs w:val="28"/>
        </w:rPr>
      </w:pPr>
    </w:p>
    <w:p w14:paraId="5DDD82E6" w14:textId="0CC0BD47" w:rsidR="00842E09" w:rsidRPr="00842E09" w:rsidRDefault="00A76AA4">
      <w:pPr>
        <w:rPr>
          <w:b/>
          <w:color w:val="000000" w:themeColor="text1"/>
        </w:rPr>
      </w:pPr>
      <w:r>
        <w:rPr>
          <w:noProof/>
        </w:rPr>
        <w:drawing>
          <wp:anchor distT="0" distB="0" distL="114300" distR="114300" simplePos="0" relativeHeight="251658240" behindDoc="0" locked="0" layoutInCell="1" allowOverlap="1" wp14:anchorId="4289761D" wp14:editId="1080CA51">
            <wp:simplePos x="0" y="0"/>
            <wp:positionH relativeFrom="margin">
              <wp:align>center</wp:align>
            </wp:positionH>
            <wp:positionV relativeFrom="paragraph">
              <wp:posOffset>191904</wp:posOffset>
            </wp:positionV>
            <wp:extent cx="5800319" cy="3479666"/>
            <wp:effectExtent l="0" t="0" r="16510" b="63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3D4B3B70" w14:textId="08C85D0E" w:rsidR="00842E09" w:rsidRDefault="00A76AA4">
      <w:pPr>
        <w:rPr>
          <w:color w:val="000000" w:themeColor="text1"/>
        </w:rPr>
      </w:pPr>
      <w:r>
        <w:rPr>
          <w:noProof/>
        </w:rPr>
        <w:drawing>
          <wp:anchor distT="0" distB="0" distL="114300" distR="114300" simplePos="0" relativeHeight="251659264" behindDoc="0" locked="0" layoutInCell="1" allowOverlap="1" wp14:anchorId="35560C9A" wp14:editId="37DE480A">
            <wp:simplePos x="0" y="0"/>
            <wp:positionH relativeFrom="margin">
              <wp:align>center</wp:align>
            </wp:positionH>
            <wp:positionV relativeFrom="paragraph">
              <wp:posOffset>3675380</wp:posOffset>
            </wp:positionV>
            <wp:extent cx="5779770" cy="3467100"/>
            <wp:effectExtent l="0" t="0" r="11430" b="1270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F435663" w14:textId="4D6B8298" w:rsidR="00A76AA4" w:rsidRDefault="00A76AA4">
      <w:pPr>
        <w:rPr>
          <w:color w:val="000000" w:themeColor="text1"/>
        </w:rPr>
      </w:pPr>
      <w:r>
        <w:rPr>
          <w:color w:val="000000" w:themeColor="text1"/>
        </w:rPr>
        <w:br w:type="page"/>
      </w:r>
    </w:p>
    <w:p w14:paraId="307DE327" w14:textId="6D14FFC9" w:rsidR="00A76AA4" w:rsidRDefault="00A76AA4">
      <w:pPr>
        <w:rPr>
          <w:b/>
          <w:color w:val="000000" w:themeColor="text1"/>
          <w:sz w:val="28"/>
          <w:szCs w:val="28"/>
        </w:rPr>
      </w:pPr>
      <w:r>
        <w:rPr>
          <w:b/>
          <w:color w:val="000000" w:themeColor="text1"/>
          <w:sz w:val="28"/>
          <w:szCs w:val="28"/>
        </w:rPr>
        <w:t>Problem 3</w:t>
      </w:r>
    </w:p>
    <w:p w14:paraId="77720ACB" w14:textId="77777777" w:rsidR="00A76AA4" w:rsidRDefault="00A76AA4">
      <w:pPr>
        <w:rPr>
          <w:color w:val="000000" w:themeColor="text1"/>
        </w:rPr>
      </w:pPr>
    </w:p>
    <w:p w14:paraId="65F56616" w14:textId="77777777" w:rsidR="00500A91" w:rsidRPr="00DD65AC" w:rsidRDefault="00500A91" w:rsidP="00500A91">
      <w:pPr>
        <w:rPr>
          <w:b/>
          <w:color w:val="000000" w:themeColor="text1"/>
        </w:rPr>
      </w:pPr>
      <w:r w:rsidRPr="00DD65AC">
        <w:rPr>
          <w:b/>
          <w:color w:val="000000" w:themeColor="text1"/>
        </w:rPr>
        <w:t xml:space="preserve">1. How can test-induced degradation mechanisms be minimized? </w:t>
      </w:r>
    </w:p>
    <w:p w14:paraId="5CBE8792" w14:textId="002F6E49" w:rsidR="00500A91" w:rsidRDefault="00DD65AC" w:rsidP="00500A91">
      <w:pPr>
        <w:rPr>
          <w:color w:val="000000" w:themeColor="text1"/>
        </w:rPr>
      </w:pPr>
      <w:r>
        <w:rPr>
          <w:color w:val="000000" w:themeColor="text1"/>
        </w:rPr>
        <w:tab/>
      </w:r>
      <w:r w:rsidR="007B4BD3">
        <w:rPr>
          <w:color w:val="000000" w:themeColor="text1"/>
        </w:rPr>
        <w:t>In general</w:t>
      </w:r>
      <w:r w:rsidR="00301040">
        <w:rPr>
          <w:color w:val="000000" w:themeColor="text1"/>
        </w:rPr>
        <w:t>, observing the procedures outlined in the</w:t>
      </w:r>
      <w:r w:rsidR="00BD4A0E">
        <w:rPr>
          <w:color w:val="000000" w:themeColor="text1"/>
        </w:rPr>
        <w:t xml:space="preserve"> Battery Test Manual will help to minimize test-induced degradation. Observing voltage limits is important in minimizing degradation, including the max/min operating voltage, the max/min pulse voltage limits, and </w:t>
      </w:r>
      <w:r w:rsidR="001679FE">
        <w:rPr>
          <w:color w:val="000000" w:themeColor="text1"/>
        </w:rPr>
        <w:t xml:space="preserve">low-temperature voltage limits. Tests should be performed at 30˚C and manufacturer-specified charging procedures should be observed. </w:t>
      </w:r>
      <w:r w:rsidR="00301040">
        <w:rPr>
          <w:color w:val="000000" w:themeColor="text1"/>
        </w:rPr>
        <w:t xml:space="preserve"> </w:t>
      </w:r>
    </w:p>
    <w:p w14:paraId="167D4E50" w14:textId="77777777" w:rsidR="00301040" w:rsidRPr="00DD65AC" w:rsidRDefault="00301040" w:rsidP="00500A91">
      <w:pPr>
        <w:rPr>
          <w:color w:val="000000" w:themeColor="text1"/>
        </w:rPr>
      </w:pPr>
    </w:p>
    <w:p w14:paraId="2E6B6B89" w14:textId="77777777" w:rsidR="00500A91" w:rsidRDefault="00500A91" w:rsidP="00500A91">
      <w:pPr>
        <w:rPr>
          <w:b/>
          <w:color w:val="000000" w:themeColor="text1"/>
        </w:rPr>
      </w:pPr>
      <w:r w:rsidRPr="00DD65AC">
        <w:rPr>
          <w:b/>
          <w:color w:val="000000" w:themeColor="text1"/>
        </w:rPr>
        <w:t xml:space="preserve">2. What is the recommended resting time after each charge (or discharge) prior to further testing? </w:t>
      </w:r>
    </w:p>
    <w:p w14:paraId="08418462" w14:textId="74EA0B3D" w:rsidR="007B4BD3" w:rsidRPr="007B4BD3" w:rsidRDefault="007B4BD3" w:rsidP="00500A91">
      <w:pPr>
        <w:rPr>
          <w:color w:val="000000" w:themeColor="text1"/>
        </w:rPr>
      </w:pPr>
      <w:r>
        <w:rPr>
          <w:b/>
          <w:color w:val="000000" w:themeColor="text1"/>
        </w:rPr>
        <w:tab/>
      </w:r>
      <w:r>
        <w:rPr>
          <w:color w:val="000000" w:themeColor="text1"/>
        </w:rPr>
        <w:t xml:space="preserve">The recommended resting time is 60 minutes. The manufacturer will also likely specify a rest time that should be observed. However, if performing charge depletion life cycle testing, it may be acceptable to wait only 15 minutes between charges or discharges. </w:t>
      </w:r>
    </w:p>
    <w:p w14:paraId="5569F36E" w14:textId="77777777" w:rsidR="00DD65AC" w:rsidRPr="00DD65AC" w:rsidRDefault="00DD65AC" w:rsidP="005945B9">
      <w:pPr>
        <w:pStyle w:val="ListParagraph"/>
        <w:rPr>
          <w:b/>
          <w:color w:val="000000" w:themeColor="text1"/>
        </w:rPr>
      </w:pPr>
    </w:p>
    <w:p w14:paraId="00428F60" w14:textId="77777777" w:rsidR="00500A91" w:rsidRPr="00DD65AC" w:rsidRDefault="00500A91" w:rsidP="00500A91">
      <w:pPr>
        <w:rPr>
          <w:b/>
          <w:color w:val="000000" w:themeColor="text1"/>
        </w:rPr>
      </w:pPr>
      <w:r w:rsidRPr="00DD65AC">
        <w:rPr>
          <w:b/>
          <w:color w:val="000000" w:themeColor="text1"/>
        </w:rPr>
        <w:t xml:space="preserve">3. Define the Battery Size Factor (BSF). </w:t>
      </w:r>
    </w:p>
    <w:p w14:paraId="04C457F7" w14:textId="43F71B11" w:rsidR="00DD65AC" w:rsidRDefault="00DD65AC" w:rsidP="00500A91">
      <w:pPr>
        <w:rPr>
          <w:color w:val="000000" w:themeColor="text1"/>
        </w:rPr>
      </w:pPr>
      <w:r>
        <w:rPr>
          <w:color w:val="000000" w:themeColor="text1"/>
        </w:rPr>
        <w:tab/>
        <w:t xml:space="preserve">The BSF is a ratio that defines the minimum number of cells, modules, or sub-batteries needed for a device to meet the specified energy and power targets. </w:t>
      </w:r>
    </w:p>
    <w:p w14:paraId="5F1BF336" w14:textId="77777777" w:rsidR="007B7E27" w:rsidRPr="00DD65AC" w:rsidRDefault="007B7E27" w:rsidP="00500A91">
      <w:pPr>
        <w:rPr>
          <w:color w:val="000000" w:themeColor="text1"/>
        </w:rPr>
      </w:pPr>
    </w:p>
    <w:p w14:paraId="7F44934F" w14:textId="04D439EA" w:rsidR="00500A91" w:rsidRPr="00DD65AC" w:rsidRDefault="00500A91" w:rsidP="00500A91">
      <w:pPr>
        <w:rPr>
          <w:b/>
          <w:color w:val="000000" w:themeColor="text1"/>
        </w:rPr>
      </w:pPr>
      <w:r w:rsidRPr="00DD65AC">
        <w:rPr>
          <w:b/>
          <w:color w:val="000000" w:themeColor="text1"/>
        </w:rPr>
        <w:t>4. What are the only two tests that are defined in terms of requested current as opposed to requested power?</w:t>
      </w:r>
    </w:p>
    <w:p w14:paraId="3E230A83" w14:textId="56B28105" w:rsidR="00A76AA4" w:rsidRPr="007B7E27" w:rsidRDefault="007B7E27">
      <w:pPr>
        <w:rPr>
          <w:color w:val="000000" w:themeColor="text1"/>
        </w:rPr>
      </w:pPr>
      <w:r>
        <w:rPr>
          <w:color w:val="000000" w:themeColor="text1"/>
        </w:rPr>
        <w:tab/>
      </w:r>
      <w:r w:rsidR="00D324B7">
        <w:rPr>
          <w:color w:val="000000" w:themeColor="text1"/>
        </w:rPr>
        <w:t xml:space="preserve">The Static Capacity Test and the High Rate Charge Test are the only two tests that are defined in terms of requested current. </w:t>
      </w:r>
    </w:p>
    <w:sectPr w:rsidR="00A76AA4" w:rsidRPr="007B7E27" w:rsidSect="00C2726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D00"/>
    <w:multiLevelType w:val="hybridMultilevel"/>
    <w:tmpl w:val="F3AA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B479E0"/>
    <w:multiLevelType w:val="hybridMultilevel"/>
    <w:tmpl w:val="D1E01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03503"/>
    <w:multiLevelType w:val="hybridMultilevel"/>
    <w:tmpl w:val="E800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146"/>
    <w:rsid w:val="00033236"/>
    <w:rsid w:val="00037B0E"/>
    <w:rsid w:val="0006342B"/>
    <w:rsid w:val="000C220D"/>
    <w:rsid w:val="000E1DDD"/>
    <w:rsid w:val="001103CD"/>
    <w:rsid w:val="001155FF"/>
    <w:rsid w:val="00131093"/>
    <w:rsid w:val="001679FE"/>
    <w:rsid w:val="001A187A"/>
    <w:rsid w:val="00240A98"/>
    <w:rsid w:val="00242739"/>
    <w:rsid w:val="002908E9"/>
    <w:rsid w:val="002F5F3D"/>
    <w:rsid w:val="00301040"/>
    <w:rsid w:val="00316A80"/>
    <w:rsid w:val="00320A45"/>
    <w:rsid w:val="00352928"/>
    <w:rsid w:val="00390414"/>
    <w:rsid w:val="003F4BD9"/>
    <w:rsid w:val="004E1494"/>
    <w:rsid w:val="00500A91"/>
    <w:rsid w:val="00503E6E"/>
    <w:rsid w:val="005319FE"/>
    <w:rsid w:val="005945B9"/>
    <w:rsid w:val="00610D90"/>
    <w:rsid w:val="00620965"/>
    <w:rsid w:val="00640C86"/>
    <w:rsid w:val="006A1C82"/>
    <w:rsid w:val="006B7A9C"/>
    <w:rsid w:val="006C5E6A"/>
    <w:rsid w:val="006F1D1E"/>
    <w:rsid w:val="007175E6"/>
    <w:rsid w:val="007B4BD3"/>
    <w:rsid w:val="007B7E27"/>
    <w:rsid w:val="00817ECB"/>
    <w:rsid w:val="008272C6"/>
    <w:rsid w:val="00830FDF"/>
    <w:rsid w:val="00832146"/>
    <w:rsid w:val="00842E09"/>
    <w:rsid w:val="00846726"/>
    <w:rsid w:val="008573EC"/>
    <w:rsid w:val="008B3757"/>
    <w:rsid w:val="009418EF"/>
    <w:rsid w:val="00946AAE"/>
    <w:rsid w:val="009C37EE"/>
    <w:rsid w:val="00A76AA4"/>
    <w:rsid w:val="00AF33D2"/>
    <w:rsid w:val="00B00580"/>
    <w:rsid w:val="00B93DC3"/>
    <w:rsid w:val="00BA15F1"/>
    <w:rsid w:val="00BD1CDE"/>
    <w:rsid w:val="00BD4A0E"/>
    <w:rsid w:val="00C14D58"/>
    <w:rsid w:val="00C2726A"/>
    <w:rsid w:val="00C718C0"/>
    <w:rsid w:val="00CE023E"/>
    <w:rsid w:val="00D324B7"/>
    <w:rsid w:val="00D6628B"/>
    <w:rsid w:val="00D75D55"/>
    <w:rsid w:val="00DA3917"/>
    <w:rsid w:val="00DD5BE8"/>
    <w:rsid w:val="00DD65AC"/>
    <w:rsid w:val="00E45FA0"/>
    <w:rsid w:val="00EA45B1"/>
    <w:rsid w:val="00F40B14"/>
    <w:rsid w:val="00F958B8"/>
    <w:rsid w:val="00FB3CBD"/>
    <w:rsid w:val="00FB7480"/>
    <w:rsid w:val="00FC5EC7"/>
    <w:rsid w:val="00FC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D0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AAE"/>
    <w:rPr>
      <w:color w:val="0563C1" w:themeColor="hyperlink"/>
      <w:u w:val="single"/>
    </w:rPr>
  </w:style>
  <w:style w:type="paragraph" w:styleId="ListParagraph">
    <w:name w:val="List Paragraph"/>
    <w:basedOn w:val="Normal"/>
    <w:uiPriority w:val="34"/>
    <w:qFormat/>
    <w:rsid w:val="000E1DDD"/>
    <w:pPr>
      <w:ind w:left="720"/>
      <w:contextualSpacing/>
    </w:pPr>
  </w:style>
  <w:style w:type="paragraph" w:styleId="Date">
    <w:name w:val="Date"/>
    <w:basedOn w:val="Normal"/>
    <w:next w:val="Normal"/>
    <w:link w:val="DateChar"/>
    <w:uiPriority w:val="99"/>
    <w:semiHidden/>
    <w:unhideWhenUsed/>
    <w:rsid w:val="009C37EE"/>
  </w:style>
  <w:style w:type="character" w:customStyle="1" w:styleId="DateChar">
    <w:name w:val="Date Char"/>
    <w:basedOn w:val="DefaultParagraphFont"/>
    <w:link w:val="Date"/>
    <w:uiPriority w:val="99"/>
    <w:semiHidden/>
    <w:rsid w:val="009C3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201365">
      <w:bodyDiv w:val="1"/>
      <w:marLeft w:val="0"/>
      <w:marRight w:val="0"/>
      <w:marTop w:val="0"/>
      <w:marBottom w:val="0"/>
      <w:divBdr>
        <w:top w:val="none" w:sz="0" w:space="0" w:color="auto"/>
        <w:left w:val="none" w:sz="0" w:space="0" w:color="auto"/>
        <w:bottom w:val="none" w:sz="0" w:space="0" w:color="auto"/>
        <w:right w:val="none" w:sz="0" w:space="0" w:color="auto"/>
      </w:divBdr>
    </w:div>
    <w:div w:id="518128376">
      <w:bodyDiv w:val="1"/>
      <w:marLeft w:val="0"/>
      <w:marRight w:val="0"/>
      <w:marTop w:val="0"/>
      <w:marBottom w:val="0"/>
      <w:divBdr>
        <w:top w:val="none" w:sz="0" w:space="0" w:color="auto"/>
        <w:left w:val="none" w:sz="0" w:space="0" w:color="auto"/>
        <w:bottom w:val="none" w:sz="0" w:space="0" w:color="auto"/>
        <w:right w:val="none" w:sz="0" w:space="0" w:color="auto"/>
      </w:divBdr>
    </w:div>
    <w:div w:id="999844841">
      <w:bodyDiv w:val="1"/>
      <w:marLeft w:val="0"/>
      <w:marRight w:val="0"/>
      <w:marTop w:val="0"/>
      <w:marBottom w:val="0"/>
      <w:divBdr>
        <w:top w:val="none" w:sz="0" w:space="0" w:color="auto"/>
        <w:left w:val="none" w:sz="0" w:space="0" w:color="auto"/>
        <w:bottom w:val="none" w:sz="0" w:space="0" w:color="auto"/>
        <w:right w:val="none" w:sz="0" w:space="0" w:color="auto"/>
      </w:divBdr>
    </w:div>
    <w:div w:id="1025596068">
      <w:bodyDiv w:val="1"/>
      <w:marLeft w:val="0"/>
      <w:marRight w:val="0"/>
      <w:marTop w:val="0"/>
      <w:marBottom w:val="0"/>
      <w:divBdr>
        <w:top w:val="none" w:sz="0" w:space="0" w:color="auto"/>
        <w:left w:val="none" w:sz="0" w:space="0" w:color="auto"/>
        <w:bottom w:val="none" w:sz="0" w:space="0" w:color="auto"/>
        <w:right w:val="none" w:sz="0" w:space="0" w:color="auto"/>
      </w:divBdr>
    </w:div>
    <w:div w:id="1262446807">
      <w:bodyDiv w:val="1"/>
      <w:marLeft w:val="0"/>
      <w:marRight w:val="0"/>
      <w:marTop w:val="0"/>
      <w:marBottom w:val="0"/>
      <w:divBdr>
        <w:top w:val="none" w:sz="0" w:space="0" w:color="auto"/>
        <w:left w:val="none" w:sz="0" w:space="0" w:color="auto"/>
        <w:bottom w:val="none" w:sz="0" w:space="0" w:color="auto"/>
        <w:right w:val="none" w:sz="0" w:space="0" w:color="auto"/>
      </w:divBdr>
    </w:div>
    <w:div w:id="1382513998">
      <w:bodyDiv w:val="1"/>
      <w:marLeft w:val="0"/>
      <w:marRight w:val="0"/>
      <w:marTop w:val="0"/>
      <w:marBottom w:val="0"/>
      <w:divBdr>
        <w:top w:val="none" w:sz="0" w:space="0" w:color="auto"/>
        <w:left w:val="none" w:sz="0" w:space="0" w:color="auto"/>
        <w:bottom w:val="none" w:sz="0" w:space="0" w:color="auto"/>
        <w:right w:val="none" w:sz="0" w:space="0" w:color="auto"/>
      </w:divBdr>
    </w:div>
    <w:div w:id="1510947898">
      <w:bodyDiv w:val="1"/>
      <w:marLeft w:val="0"/>
      <w:marRight w:val="0"/>
      <w:marTop w:val="0"/>
      <w:marBottom w:val="0"/>
      <w:divBdr>
        <w:top w:val="none" w:sz="0" w:space="0" w:color="auto"/>
        <w:left w:val="none" w:sz="0" w:space="0" w:color="auto"/>
        <w:bottom w:val="none" w:sz="0" w:space="0" w:color="auto"/>
        <w:right w:val="none" w:sz="0" w:space="0" w:color="auto"/>
      </w:divBdr>
    </w:div>
    <w:div w:id="1991209598">
      <w:bodyDiv w:val="1"/>
      <w:marLeft w:val="0"/>
      <w:marRight w:val="0"/>
      <w:marTop w:val="0"/>
      <w:marBottom w:val="0"/>
      <w:divBdr>
        <w:top w:val="none" w:sz="0" w:space="0" w:color="auto"/>
        <w:left w:val="none" w:sz="0" w:space="0" w:color="auto"/>
        <w:bottom w:val="none" w:sz="0" w:space="0" w:color="auto"/>
        <w:right w:val="none" w:sz="0" w:space="0" w:color="auto"/>
      </w:divBdr>
    </w:div>
    <w:div w:id="2010012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reencarcongress.com/2018/02/20180202-tmc.html" TargetMode="External"/><Relationship Id="rId6" Type="http://schemas.openxmlformats.org/officeDocument/2006/relationships/hyperlink" Target="http://www.greencarcongress.com/2017/12/20171218-toyota.html" TargetMode="External"/><Relationship Id="rId7" Type="http://schemas.openxmlformats.org/officeDocument/2006/relationships/hyperlink" Target="http://www.greencarcongress.com/2018/03/20180316-ford.html" TargetMode="External"/><Relationship Id="rId8" Type="http://schemas.openxmlformats.org/officeDocument/2006/relationships/hyperlink" Target="http://www.greencarcongress.com/2018/02/20180215-evolution.html" TargetMode="Externa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Kramer/Dropbox/School/Spring/ENERGY%20294/HW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Kramer/Dropbox/School/Spring/ENERGY%20294/HW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Annual Consumption by Source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Solar</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Sheet1!$B$11:$B$15</c:f>
              <c:numCache>
                <c:formatCode>General</c:formatCode>
                <c:ptCount val="5"/>
                <c:pt idx="0">
                  <c:v>2012.0</c:v>
                </c:pt>
                <c:pt idx="1">
                  <c:v>2013.0</c:v>
                </c:pt>
                <c:pt idx="2">
                  <c:v>2014.0</c:v>
                </c:pt>
                <c:pt idx="3">
                  <c:v>2015.0</c:v>
                </c:pt>
                <c:pt idx="4">
                  <c:v>2016.0</c:v>
                </c:pt>
              </c:numCache>
            </c:numRef>
          </c:cat>
          <c:val>
            <c:numRef>
              <c:f>Sheet1!$C$11:$C$15</c:f>
              <c:numCache>
                <c:formatCode>0%</c:formatCode>
                <c:ptCount val="5"/>
                <c:pt idx="0">
                  <c:v>0.00247108307045215</c:v>
                </c:pt>
                <c:pt idx="1">
                  <c:v>0.00328542094455852</c:v>
                </c:pt>
                <c:pt idx="2">
                  <c:v>0.00434384537131231</c:v>
                </c:pt>
                <c:pt idx="3">
                  <c:v>0.00438271604938271</c:v>
                </c:pt>
                <c:pt idx="4">
                  <c:v>0.00603288797533402</c:v>
                </c:pt>
              </c:numCache>
            </c:numRef>
          </c:val>
          <c:smooth val="0"/>
        </c:ser>
        <c:ser>
          <c:idx val="1"/>
          <c:order val="1"/>
          <c:tx>
            <c:v>Coal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Sheet1!$B$11:$B$15</c:f>
              <c:numCache>
                <c:formatCode>General</c:formatCode>
                <c:ptCount val="5"/>
                <c:pt idx="0">
                  <c:v>2012.0</c:v>
                </c:pt>
                <c:pt idx="1">
                  <c:v>2013.0</c:v>
                </c:pt>
                <c:pt idx="2">
                  <c:v>2014.0</c:v>
                </c:pt>
                <c:pt idx="3">
                  <c:v>2015.0</c:v>
                </c:pt>
                <c:pt idx="4">
                  <c:v>2016.0</c:v>
                </c:pt>
              </c:numCache>
            </c:numRef>
          </c:cat>
          <c:val>
            <c:numRef>
              <c:f>Sheet1!$D$11:$D$15</c:f>
              <c:numCache>
                <c:formatCode>0%</c:formatCode>
                <c:ptCount val="5"/>
                <c:pt idx="0">
                  <c:v>0.182965299684543</c:v>
                </c:pt>
                <c:pt idx="1">
                  <c:v>0.184804928131417</c:v>
                </c:pt>
                <c:pt idx="2">
                  <c:v>0.182095625635809</c:v>
                </c:pt>
                <c:pt idx="3">
                  <c:v>0.159465020576132</c:v>
                </c:pt>
                <c:pt idx="4">
                  <c:v>0.145940390544707</c:v>
                </c:pt>
              </c:numCache>
            </c:numRef>
          </c:val>
          <c:smooth val="0"/>
        </c:ser>
        <c:ser>
          <c:idx val="2"/>
          <c:order val="2"/>
          <c:tx>
            <c:v>Petroleum</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Sheet1!$B$11:$B$15</c:f>
              <c:numCache>
                <c:formatCode>General</c:formatCode>
                <c:ptCount val="5"/>
                <c:pt idx="0">
                  <c:v>2012.0</c:v>
                </c:pt>
                <c:pt idx="1">
                  <c:v>2013.0</c:v>
                </c:pt>
                <c:pt idx="2">
                  <c:v>2014.0</c:v>
                </c:pt>
                <c:pt idx="3">
                  <c:v>2015.0</c:v>
                </c:pt>
                <c:pt idx="4">
                  <c:v>2016.0</c:v>
                </c:pt>
              </c:numCache>
            </c:numRef>
          </c:cat>
          <c:val>
            <c:numRef>
              <c:f>Sheet1!$E$11:$E$15</c:f>
              <c:numCache>
                <c:formatCode>0%</c:formatCode>
                <c:ptCount val="5"/>
                <c:pt idx="0">
                  <c:v>0.364879074658254</c:v>
                </c:pt>
                <c:pt idx="1">
                  <c:v>0.360369609856263</c:v>
                </c:pt>
                <c:pt idx="2">
                  <c:v>0.354018311291963</c:v>
                </c:pt>
                <c:pt idx="3">
                  <c:v>0.366255144032922</c:v>
                </c:pt>
                <c:pt idx="4">
                  <c:v>0.36896197327852</c:v>
                </c:pt>
              </c:numCache>
            </c:numRef>
          </c:val>
          <c:smooth val="0"/>
        </c:ser>
        <c:dLbls>
          <c:showLegendKey val="0"/>
          <c:showVal val="0"/>
          <c:showCatName val="0"/>
          <c:showSerName val="0"/>
          <c:showPercent val="0"/>
          <c:showBubbleSize val="0"/>
        </c:dLbls>
        <c:marker val="1"/>
        <c:smooth val="0"/>
        <c:axId val="2141520992"/>
        <c:axId val="-2123624528"/>
      </c:lineChart>
      <c:catAx>
        <c:axId val="214152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24528"/>
        <c:crosses val="autoZero"/>
        <c:auto val="1"/>
        <c:lblAlgn val="ctr"/>
        <c:lblOffset val="100"/>
        <c:noMultiLvlLbl val="0"/>
      </c:catAx>
      <c:valAx>
        <c:axId val="-21236245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52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5-Year Cumulative Consumption</a:t>
            </a:r>
            <a:r>
              <a:rPr lang="en-US" baseline="0"/>
              <a:t> by  Source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Solar</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Sheet1!$B$19:$B$23</c:f>
              <c:numCache>
                <c:formatCode>General</c:formatCode>
                <c:ptCount val="5"/>
                <c:pt idx="0">
                  <c:v>2012.0</c:v>
                </c:pt>
                <c:pt idx="1">
                  <c:v>2013.0</c:v>
                </c:pt>
                <c:pt idx="2">
                  <c:v>2014.0</c:v>
                </c:pt>
                <c:pt idx="3">
                  <c:v>2015.0</c:v>
                </c:pt>
                <c:pt idx="4">
                  <c:v>2016.0</c:v>
                </c:pt>
              </c:numCache>
            </c:numRef>
          </c:cat>
          <c:val>
            <c:numRef>
              <c:f>Sheet1!$C$19:$C$23</c:f>
              <c:numCache>
                <c:formatCode>0%</c:formatCode>
                <c:ptCount val="5"/>
                <c:pt idx="0">
                  <c:v>0.000484236554708428</c:v>
                </c:pt>
                <c:pt idx="1">
                  <c:v>0.000659385946837008</c:v>
                </c:pt>
                <c:pt idx="2">
                  <c:v>0.000879868122810632</c:v>
                </c:pt>
                <c:pt idx="3">
                  <c:v>0.000877807541726767</c:v>
                </c:pt>
                <c:pt idx="4">
                  <c:v>0.00120956109622914</c:v>
                </c:pt>
              </c:numCache>
            </c:numRef>
          </c:val>
          <c:smooth val="0"/>
        </c:ser>
        <c:ser>
          <c:idx val="1"/>
          <c:order val="1"/>
          <c:tx>
            <c:v>Coal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Sheet1!$B$19:$B$23</c:f>
              <c:numCache>
                <c:formatCode>General</c:formatCode>
                <c:ptCount val="5"/>
                <c:pt idx="0">
                  <c:v>2012.0</c:v>
                </c:pt>
                <c:pt idx="1">
                  <c:v>2013.0</c:v>
                </c:pt>
                <c:pt idx="2">
                  <c:v>2014.0</c:v>
                </c:pt>
                <c:pt idx="3">
                  <c:v>2015.0</c:v>
                </c:pt>
                <c:pt idx="4">
                  <c:v>2016.0</c:v>
                </c:pt>
              </c:numCache>
            </c:numRef>
          </c:cat>
          <c:val>
            <c:numRef>
              <c:f>Sheet1!$D$19:$D$23</c:f>
              <c:numCache>
                <c:formatCode>0%</c:formatCode>
                <c:ptCount val="5"/>
                <c:pt idx="0">
                  <c:v>0.0358541108592623</c:v>
                </c:pt>
                <c:pt idx="1">
                  <c:v>0.0370904595095817</c:v>
                </c:pt>
                <c:pt idx="2">
                  <c:v>0.0368844014011951</c:v>
                </c:pt>
                <c:pt idx="3">
                  <c:v>0.0319390067999176</c:v>
                </c:pt>
                <c:pt idx="4">
                  <c:v>0.0292602513908922</c:v>
                </c:pt>
              </c:numCache>
            </c:numRef>
          </c:val>
          <c:smooth val="0"/>
        </c:ser>
        <c:ser>
          <c:idx val="2"/>
          <c:order val="2"/>
          <c:tx>
            <c:v>Petroleum</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Sheet1!$B$19:$B$23</c:f>
              <c:numCache>
                <c:formatCode>General</c:formatCode>
                <c:ptCount val="5"/>
                <c:pt idx="0">
                  <c:v>2012.0</c:v>
                </c:pt>
                <c:pt idx="1">
                  <c:v>2013.0</c:v>
                </c:pt>
                <c:pt idx="2">
                  <c:v>2014.0</c:v>
                </c:pt>
                <c:pt idx="3">
                  <c:v>2015.0</c:v>
                </c:pt>
                <c:pt idx="4">
                  <c:v>2016.0</c:v>
                </c:pt>
              </c:numCache>
            </c:numRef>
          </c:cat>
          <c:val>
            <c:numRef>
              <c:f>Sheet1!$E$19:$E$23</c:f>
              <c:numCache>
                <c:formatCode>0%</c:formatCode>
                <c:ptCount val="5"/>
                <c:pt idx="0">
                  <c:v>0.0715021636101381</c:v>
                </c:pt>
                <c:pt idx="1">
                  <c:v>0.0723263960436843</c:v>
                </c:pt>
                <c:pt idx="2">
                  <c:v>0.0717082217185246</c:v>
                </c:pt>
                <c:pt idx="3">
                  <c:v>0.0733566865856171</c:v>
                </c:pt>
                <c:pt idx="4">
                  <c:v>0.0739748609107768</c:v>
                </c:pt>
              </c:numCache>
            </c:numRef>
          </c:val>
          <c:smooth val="0"/>
        </c:ser>
        <c:dLbls>
          <c:showLegendKey val="0"/>
          <c:showVal val="0"/>
          <c:showCatName val="0"/>
          <c:showSerName val="0"/>
          <c:showPercent val="0"/>
          <c:showBubbleSize val="0"/>
        </c:dLbls>
        <c:marker val="1"/>
        <c:smooth val="0"/>
        <c:axId val="-2140751904"/>
        <c:axId val="2144395056"/>
      </c:lineChart>
      <c:catAx>
        <c:axId val="-214075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395056"/>
        <c:crosses val="autoZero"/>
        <c:auto val="1"/>
        <c:lblAlgn val="ctr"/>
        <c:lblOffset val="100"/>
        <c:noMultiLvlLbl val="0"/>
      </c:catAx>
      <c:valAx>
        <c:axId val="2144395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5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1353</Words>
  <Characters>7713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Henry Kramer</dc:creator>
  <cp:keywords/>
  <dc:description/>
  <cp:lastModifiedBy>Sam Henry Kramer</cp:lastModifiedBy>
  <cp:revision>53</cp:revision>
  <dcterms:created xsi:type="dcterms:W3CDTF">2018-04-11T22:04:00Z</dcterms:created>
  <dcterms:modified xsi:type="dcterms:W3CDTF">2018-04-12T18:14:00Z</dcterms:modified>
</cp:coreProperties>
</file>