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9271503"/>
        <w:docPartObj>
          <w:docPartGallery w:val="Cover Pages"/>
          <w:docPartUnique/>
        </w:docPartObj>
      </w:sdtPr>
      <w:sdtEndPr>
        <w:rPr>
          <w:b/>
          <w:bCs/>
          <w:sz w:val="32"/>
          <w:szCs w:val="32"/>
        </w:rPr>
      </w:sdtEndPr>
      <w:sdtContent>
        <w:p w14:paraId="680DB1AD" w14:textId="06EB7185" w:rsidR="00F41F42" w:rsidRPr="00E94071" w:rsidRDefault="00F41F42">
          <w:pPr>
            <w:pStyle w:val="NoSpacing"/>
          </w:pPr>
          <w:r w:rsidRPr="00E94071">
            <w:rPr>
              <w:noProof/>
            </w:rPr>
            <mc:AlternateContent>
              <mc:Choice Requires="wpg">
                <w:drawing>
                  <wp:anchor distT="0" distB="0" distL="114300" distR="114300" simplePos="0" relativeHeight="251659264" behindDoc="1" locked="0" layoutInCell="1" allowOverlap="1" wp14:anchorId="70661FD3" wp14:editId="18DFC3A9">
                    <wp:simplePos x="0" y="0"/>
                    <mc:AlternateContent>
                      <mc:Choice Requires="wp14">
                        <wp:positionH relativeFrom="page">
                          <wp14:pctPosHOffset>4000</wp14:pctPosHOffset>
                        </wp:positionH>
                      </mc:Choice>
                      <mc:Fallback>
                        <wp:positionH relativeFrom="page">
                          <wp:posOffset>401955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8-02T00:00:00Z">
                                      <w:dateFormat w:val="M/d/yyyy"/>
                                      <w:lid w:val="en-US"/>
                                      <w:storeMappedDataAs w:val="dateTime"/>
                                      <w:calendar w:val="gregorian"/>
                                    </w:date>
                                  </w:sdtPr>
                                  <w:sdtContent>
                                    <w:p w14:paraId="34A5F23B" w14:textId="35E6D0D5" w:rsidR="00F41F42" w:rsidRDefault="00E94071">
                                      <w:pPr>
                                        <w:pStyle w:val="NoSpacing"/>
                                        <w:jc w:val="right"/>
                                        <w:rPr>
                                          <w:color w:val="FFFFFF" w:themeColor="background1"/>
                                          <w:sz w:val="28"/>
                                          <w:szCs w:val="28"/>
                                        </w:rPr>
                                      </w:pPr>
                                      <w:r>
                                        <w:rPr>
                                          <w:color w:val="FFFFFF" w:themeColor="background1"/>
                                          <w:sz w:val="28"/>
                                          <w:szCs w:val="28"/>
                                        </w:rPr>
                                        <w:t>8/2/2025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661FD3"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8-02T00:00:00Z">
                                <w:dateFormat w:val="M/d/yyyy"/>
                                <w:lid w:val="en-US"/>
                                <w:storeMappedDataAs w:val="dateTime"/>
                                <w:calendar w:val="gregorian"/>
                              </w:date>
                            </w:sdtPr>
                            <w:sdtContent>
                              <w:p w14:paraId="34A5F23B" w14:textId="35E6D0D5" w:rsidR="00F41F42" w:rsidRDefault="00E94071">
                                <w:pPr>
                                  <w:pStyle w:val="NoSpacing"/>
                                  <w:jc w:val="right"/>
                                  <w:rPr>
                                    <w:color w:val="FFFFFF" w:themeColor="background1"/>
                                    <w:sz w:val="28"/>
                                    <w:szCs w:val="28"/>
                                  </w:rPr>
                                </w:pPr>
                                <w:r>
                                  <w:rPr>
                                    <w:color w:val="FFFFFF" w:themeColor="background1"/>
                                    <w:sz w:val="28"/>
                                    <w:szCs w:val="28"/>
                                  </w:rPr>
                                  <w:t>8/2/2025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94071">
            <w:rPr>
              <w:noProof/>
            </w:rPr>
            <mc:AlternateContent>
              <mc:Choice Requires="wps">
                <w:drawing>
                  <wp:anchor distT="0" distB="0" distL="114300" distR="114300" simplePos="0" relativeHeight="251661312" behindDoc="0" locked="0" layoutInCell="1" allowOverlap="1" wp14:anchorId="5B61F459" wp14:editId="57E7DEE2">
                    <wp:simplePos x="0" y="0"/>
                    <mc:AlternateContent>
                      <mc:Choice Requires="wp14">
                        <wp:positionH relativeFrom="page">
                          <wp14:pctPosHOffset>42000</wp14:pctPosHOffset>
                        </wp:positionH>
                      </mc:Choice>
                      <mc:Fallback>
                        <wp:positionH relativeFrom="page">
                          <wp:posOffset>4224020</wp:posOffset>
                        </wp:positionH>
                      </mc:Fallback>
                    </mc:AlternateContent>
                    <mc:AlternateContent>
                      <mc:Choice Requires="wp14">
                        <wp:positionV relativeFrom="page">
                          <wp14:pctPosVOffset>88000</wp14:pctPosVOffset>
                        </wp:positionV>
                      </mc:Choice>
                      <mc:Fallback>
                        <wp:positionV relativeFrom="page">
                          <wp:posOffset>6839585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E8C67" w14:textId="0B56B14B" w:rsidR="00F41F42" w:rsidRPr="002879E8" w:rsidRDefault="00000000" w:rsidP="002879E8">
                                <w:pPr>
                                  <w:pStyle w:val="NoSpacing"/>
                                  <w:jc w:val="center"/>
                                  <w:rPr>
                                    <w:b/>
                                    <w:bCs/>
                                    <w:sz w:val="26"/>
                                    <w:szCs w:val="26"/>
                                  </w:rPr>
                                </w:pPr>
                                <w:sdt>
                                  <w:sdtPr>
                                    <w:rPr>
                                      <w:b/>
                                      <w:bCs/>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1F42" w:rsidRPr="002879E8">
                                      <w:rPr>
                                        <w:b/>
                                        <w:bCs/>
                                        <w:sz w:val="26"/>
                                        <w:szCs w:val="26"/>
                                      </w:rPr>
                                      <w:t>Kungulio, Seif H.</w:t>
                                    </w:r>
                                  </w:sdtContent>
                                </w:sdt>
                              </w:p>
                              <w:p w14:paraId="2ACD0FFB" w14:textId="5EEFAEFF" w:rsidR="00F41F42" w:rsidRPr="002879E8" w:rsidRDefault="00000000" w:rsidP="002879E8">
                                <w:pPr>
                                  <w:pStyle w:val="NoSpacing"/>
                                  <w:jc w:val="center"/>
                                  <w:rPr>
                                    <w:b/>
                                    <w:bCs/>
                                    <w:sz w:val="20"/>
                                    <w:szCs w:val="20"/>
                                  </w:rPr>
                                </w:pPr>
                                <w:sdt>
                                  <w:sdtPr>
                                    <w:rPr>
                                      <w:b/>
                                      <w:bCs/>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41F42" w:rsidRPr="002879E8">
                                      <w:rPr>
                                        <w:b/>
                                        <w:bCs/>
                                        <w:caps/>
                                        <w:sz w:val="20"/>
                                        <w:szCs w:val="20"/>
                                      </w:rPr>
                                      <w:t>DATA 650</w:t>
                                    </w:r>
                                    <w:r w:rsidR="002879E8" w:rsidRPr="002879E8">
                                      <w:rPr>
                                        <w:b/>
                                        <w:bCs/>
                                        <w:caps/>
                                        <w:sz w:val="20"/>
                                        <w:szCs w:val="20"/>
                                      </w:rPr>
                                      <w:t>:</w:t>
                                    </w:r>
                                    <w:r w:rsidR="00F41F42" w:rsidRPr="002879E8">
                                      <w:rPr>
                                        <w:b/>
                                        <w:bCs/>
                                        <w:caps/>
                                        <w:sz w:val="20"/>
                                        <w:szCs w:val="20"/>
                                      </w:rPr>
                                      <w:t xml:space="preserve"> CAPSTONE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B61F459"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E2E8C67" w14:textId="0B56B14B" w:rsidR="00F41F42" w:rsidRPr="002879E8" w:rsidRDefault="00000000" w:rsidP="002879E8">
                          <w:pPr>
                            <w:pStyle w:val="NoSpacing"/>
                            <w:jc w:val="center"/>
                            <w:rPr>
                              <w:b/>
                              <w:bCs/>
                              <w:sz w:val="26"/>
                              <w:szCs w:val="26"/>
                            </w:rPr>
                          </w:pPr>
                          <w:sdt>
                            <w:sdtPr>
                              <w:rPr>
                                <w:b/>
                                <w:bCs/>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1F42" w:rsidRPr="002879E8">
                                <w:rPr>
                                  <w:b/>
                                  <w:bCs/>
                                  <w:sz w:val="26"/>
                                  <w:szCs w:val="26"/>
                                </w:rPr>
                                <w:t>Kungulio, Seif H.</w:t>
                              </w:r>
                            </w:sdtContent>
                          </w:sdt>
                        </w:p>
                        <w:p w14:paraId="2ACD0FFB" w14:textId="5EEFAEFF" w:rsidR="00F41F42" w:rsidRPr="002879E8" w:rsidRDefault="00000000" w:rsidP="002879E8">
                          <w:pPr>
                            <w:pStyle w:val="NoSpacing"/>
                            <w:jc w:val="center"/>
                            <w:rPr>
                              <w:b/>
                              <w:bCs/>
                              <w:sz w:val="20"/>
                              <w:szCs w:val="20"/>
                            </w:rPr>
                          </w:pPr>
                          <w:sdt>
                            <w:sdtPr>
                              <w:rPr>
                                <w:b/>
                                <w:bCs/>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41F42" w:rsidRPr="002879E8">
                                <w:rPr>
                                  <w:b/>
                                  <w:bCs/>
                                  <w:caps/>
                                  <w:sz w:val="20"/>
                                  <w:szCs w:val="20"/>
                                </w:rPr>
                                <w:t>DATA 650</w:t>
                              </w:r>
                              <w:r w:rsidR="002879E8" w:rsidRPr="002879E8">
                                <w:rPr>
                                  <w:b/>
                                  <w:bCs/>
                                  <w:caps/>
                                  <w:sz w:val="20"/>
                                  <w:szCs w:val="20"/>
                                </w:rPr>
                                <w:t>:</w:t>
                              </w:r>
                              <w:r w:rsidR="00F41F42" w:rsidRPr="002879E8">
                                <w:rPr>
                                  <w:b/>
                                  <w:bCs/>
                                  <w:caps/>
                                  <w:sz w:val="20"/>
                                  <w:szCs w:val="20"/>
                                </w:rPr>
                                <w:t xml:space="preserve"> CAPSTONE PROJECT</w:t>
                              </w:r>
                            </w:sdtContent>
                          </w:sdt>
                        </w:p>
                      </w:txbxContent>
                    </v:textbox>
                    <w10:wrap anchorx="page" anchory="page"/>
                  </v:shape>
                </w:pict>
              </mc:Fallback>
            </mc:AlternateContent>
          </w:r>
        </w:p>
        <w:p w14:paraId="0BB59F42" w14:textId="116EBAC9" w:rsidR="00F41F42" w:rsidRPr="00E94071" w:rsidRDefault="00F41F42">
          <w:pPr>
            <w:rPr>
              <w:rFonts w:asciiTheme="majorHAnsi" w:eastAsiaTheme="majorEastAsia" w:hAnsiTheme="majorHAnsi" w:cstheme="majorBidi"/>
              <w:b/>
              <w:bCs/>
              <w:sz w:val="32"/>
              <w:szCs w:val="32"/>
            </w:rPr>
          </w:pPr>
          <w:r w:rsidRPr="00E94071">
            <w:rPr>
              <w:noProof/>
            </w:rPr>
            <mc:AlternateContent>
              <mc:Choice Requires="wps">
                <w:drawing>
                  <wp:anchor distT="0" distB="0" distL="114300" distR="114300" simplePos="0" relativeHeight="251660288" behindDoc="0" locked="0" layoutInCell="1" allowOverlap="1" wp14:anchorId="755E7B29" wp14:editId="438E6D5A">
                    <wp:simplePos x="0" y="0"/>
                    <wp:positionH relativeFrom="page">
                      <wp:posOffset>3005594</wp:posOffset>
                    </wp:positionH>
                    <wp:positionV relativeFrom="page">
                      <wp:posOffset>1757238</wp:posOffset>
                    </wp:positionV>
                    <wp:extent cx="4253368" cy="1069848"/>
                    <wp:effectExtent l="0" t="0" r="13970" b="0"/>
                    <wp:wrapNone/>
                    <wp:docPr id="1" name="Text Box 30"/>
                    <wp:cNvGraphicFramePr/>
                    <a:graphic xmlns:a="http://schemas.openxmlformats.org/drawingml/2006/main">
                      <a:graphicData uri="http://schemas.microsoft.com/office/word/2010/wordprocessingShape">
                        <wps:wsp>
                          <wps:cNvSpPr txBox="1"/>
                          <wps:spPr>
                            <a:xfrm>
                              <a:off x="0" y="0"/>
                              <a:ext cx="425336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890EBF" w14:textId="5ADE86E7" w:rsidR="00F41F42" w:rsidRPr="00F41F42" w:rsidRDefault="00000000" w:rsidP="00F41F42">
                                <w:pPr>
                                  <w:pStyle w:val="NoSpacing"/>
                                  <w:jc w:val="center"/>
                                  <w:rPr>
                                    <w:rFonts w:asciiTheme="majorHAnsi" w:eastAsiaTheme="majorEastAsia" w:hAnsiTheme="majorHAnsi" w:cstheme="majorBidi"/>
                                    <w:b/>
                                    <w:color w:val="262626" w:themeColor="text1" w:themeTint="D9"/>
                                    <w:sz w:val="64"/>
                                    <w:szCs w:val="64"/>
                                  </w:rPr>
                                </w:pPr>
                                <w:sdt>
                                  <w:sdtPr>
                                    <w:rPr>
                                      <w:rFonts w:asciiTheme="majorHAnsi" w:eastAsiaTheme="majorEastAsia" w:hAnsiTheme="majorHAnsi" w:cstheme="majorBidi"/>
                                      <w:b/>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1F02">
                                      <w:rPr>
                                        <w:rFonts w:asciiTheme="majorHAnsi" w:eastAsiaTheme="majorEastAsia" w:hAnsiTheme="majorHAnsi" w:cstheme="majorBidi"/>
                                        <w:b/>
                                        <w:color w:val="262626" w:themeColor="text1" w:themeTint="D9"/>
                                        <w:sz w:val="64"/>
                                        <w:szCs w:val="64"/>
                                      </w:rPr>
                                      <w:t>Diabetes Risk Prediction</w:t>
                                    </w:r>
                                  </w:sdtContent>
                                </w:sdt>
                              </w:p>
                              <w:p w14:paraId="16078C4E" w14:textId="1F0B1479" w:rsidR="00F41F42" w:rsidRPr="00B91F02" w:rsidRDefault="00000000" w:rsidP="00F41F42">
                                <w:pPr>
                                  <w:spacing w:before="120"/>
                                  <w:jc w:val="center"/>
                                  <w:rPr>
                                    <w:b/>
                                    <w:bCs/>
                                    <w:color w:val="404040" w:themeColor="text1" w:themeTint="BF"/>
                                    <w:sz w:val="48"/>
                                    <w:szCs w:val="48"/>
                                    <w:u w:val="thick"/>
                                  </w:rPr>
                                </w:pPr>
                                <w:sdt>
                                  <w:sdtPr>
                                    <w:rPr>
                                      <w:b/>
                                      <w:bCs/>
                                      <w:color w:val="404040" w:themeColor="text1" w:themeTint="BF"/>
                                      <w:sz w:val="48"/>
                                      <w:szCs w:val="48"/>
                                      <w:u w:val="thick"/>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94071">
                                      <w:rPr>
                                        <w:b/>
                                        <w:bCs/>
                                        <w:color w:val="404040" w:themeColor="text1" w:themeTint="BF"/>
                                        <w:sz w:val="48"/>
                                        <w:szCs w:val="48"/>
                                        <w:u w:val="thick"/>
                                      </w:rPr>
                                      <w:t>Alternative</w:t>
                                    </w:r>
                                    <w:r w:rsidR="00BD1C39">
                                      <w:rPr>
                                        <w:b/>
                                        <w:bCs/>
                                        <w:color w:val="404040" w:themeColor="text1" w:themeTint="BF"/>
                                        <w:sz w:val="48"/>
                                        <w:szCs w:val="48"/>
                                        <w:u w:val="thick"/>
                                      </w:rPr>
                                      <w:t xml:space="preserve"> Modeling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5E7B29" id="Text Box 30" o:spid="_x0000_s1056" type="#_x0000_t202" style="position:absolute;margin-left:236.65pt;margin-top:138.35pt;width:334.9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" filled="f" stroked="f" strokeweight=".5pt">
                    <v:textbox inset="0,0,0,0">
                      <w:txbxContent>
                        <w:p w14:paraId="25890EBF" w14:textId="5ADE86E7" w:rsidR="00F41F42" w:rsidRPr="00F41F42" w:rsidRDefault="00000000" w:rsidP="00F41F42">
                          <w:pPr>
                            <w:pStyle w:val="NoSpacing"/>
                            <w:jc w:val="center"/>
                            <w:rPr>
                              <w:rFonts w:asciiTheme="majorHAnsi" w:eastAsiaTheme="majorEastAsia" w:hAnsiTheme="majorHAnsi" w:cstheme="majorBidi"/>
                              <w:b/>
                              <w:color w:val="262626" w:themeColor="text1" w:themeTint="D9"/>
                              <w:sz w:val="64"/>
                              <w:szCs w:val="64"/>
                            </w:rPr>
                          </w:pPr>
                          <w:sdt>
                            <w:sdtPr>
                              <w:rPr>
                                <w:rFonts w:asciiTheme="majorHAnsi" w:eastAsiaTheme="majorEastAsia" w:hAnsiTheme="majorHAnsi" w:cstheme="majorBidi"/>
                                <w:b/>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1F02">
                                <w:rPr>
                                  <w:rFonts w:asciiTheme="majorHAnsi" w:eastAsiaTheme="majorEastAsia" w:hAnsiTheme="majorHAnsi" w:cstheme="majorBidi"/>
                                  <w:b/>
                                  <w:color w:val="262626" w:themeColor="text1" w:themeTint="D9"/>
                                  <w:sz w:val="64"/>
                                  <w:szCs w:val="64"/>
                                </w:rPr>
                                <w:t>Diabetes Risk Prediction</w:t>
                              </w:r>
                            </w:sdtContent>
                          </w:sdt>
                        </w:p>
                        <w:p w14:paraId="16078C4E" w14:textId="1F0B1479" w:rsidR="00F41F42" w:rsidRPr="00B91F02" w:rsidRDefault="00000000" w:rsidP="00F41F42">
                          <w:pPr>
                            <w:spacing w:before="120"/>
                            <w:jc w:val="center"/>
                            <w:rPr>
                              <w:b/>
                              <w:bCs/>
                              <w:color w:val="404040" w:themeColor="text1" w:themeTint="BF"/>
                              <w:sz w:val="48"/>
                              <w:szCs w:val="48"/>
                              <w:u w:val="thick"/>
                            </w:rPr>
                          </w:pPr>
                          <w:sdt>
                            <w:sdtPr>
                              <w:rPr>
                                <w:b/>
                                <w:bCs/>
                                <w:color w:val="404040" w:themeColor="text1" w:themeTint="BF"/>
                                <w:sz w:val="48"/>
                                <w:szCs w:val="48"/>
                                <w:u w:val="thick"/>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94071">
                                <w:rPr>
                                  <w:b/>
                                  <w:bCs/>
                                  <w:color w:val="404040" w:themeColor="text1" w:themeTint="BF"/>
                                  <w:sz w:val="48"/>
                                  <w:szCs w:val="48"/>
                                  <w:u w:val="thick"/>
                                </w:rPr>
                                <w:t>Alternative</w:t>
                              </w:r>
                              <w:r w:rsidR="00BD1C39">
                                <w:rPr>
                                  <w:b/>
                                  <w:bCs/>
                                  <w:color w:val="404040" w:themeColor="text1" w:themeTint="BF"/>
                                  <w:sz w:val="48"/>
                                  <w:szCs w:val="48"/>
                                  <w:u w:val="thick"/>
                                </w:rPr>
                                <w:t xml:space="preserve"> Modeling</w:t>
                              </w:r>
                            </w:sdtContent>
                          </w:sdt>
                        </w:p>
                      </w:txbxContent>
                    </v:textbox>
                    <w10:wrap anchorx="page" anchory="page"/>
                  </v:shape>
                </w:pict>
              </mc:Fallback>
            </mc:AlternateContent>
          </w:r>
          <w:r w:rsidRPr="00E94071">
            <w:rPr>
              <w:b/>
              <w:bCs/>
              <w:sz w:val="32"/>
              <w:szCs w:val="32"/>
            </w:rPr>
            <w:br w:type="page"/>
          </w:r>
        </w:p>
      </w:sdtContent>
    </w:sdt>
    <w:p w14:paraId="6207F94C" w14:textId="6400303C" w:rsidR="005901AF" w:rsidRPr="00E94071" w:rsidRDefault="009B11F6" w:rsidP="00BD1C39">
      <w:pPr>
        <w:pStyle w:val="Heading2"/>
        <w:rPr>
          <w:b/>
          <w:bCs/>
          <w:color w:val="auto"/>
          <w:sz w:val="28"/>
          <w:szCs w:val="28"/>
        </w:rPr>
      </w:pPr>
      <w:r w:rsidRPr="00E94071">
        <w:rPr>
          <w:b/>
          <w:bCs/>
          <w:color w:val="auto"/>
          <w:sz w:val="28"/>
          <w:szCs w:val="28"/>
        </w:rPr>
        <w:lastRenderedPageBreak/>
        <w:t>Introduction</w:t>
      </w:r>
    </w:p>
    <w:p w14:paraId="4A45B906" w14:textId="245CBC14" w:rsidR="00E94071" w:rsidRDefault="00E94071" w:rsidP="00E94071">
      <w:r w:rsidRPr="00E94071">
        <w:t xml:space="preserve">Comparing predictive models is essential when selecting an approach that not only delivers strong performance metrics but also aligns with public health priorities. For this project, the objective is to enhance early identification of adults at high risk of developing diabetes in Texas using behavioral and clinical survey data. After establishing a baseline with logistic regression, I trained and evaluated additional models to assess whether improved sensitivity and generalization could better support outreach strategies. Balancing recall and interpretability </w:t>
      </w:r>
      <w:r w:rsidR="00B0539C" w:rsidRPr="00E94071">
        <w:t>were</w:t>
      </w:r>
      <w:r w:rsidRPr="00E94071">
        <w:t xml:space="preserve"> prioritized to maximize public health impact.</w:t>
      </w:r>
    </w:p>
    <w:p w14:paraId="55A0D75A" w14:textId="0D898477" w:rsidR="00E94071" w:rsidRPr="00E94071" w:rsidRDefault="00E94071" w:rsidP="00E94071">
      <w:pPr>
        <w:pStyle w:val="Heading2"/>
        <w:rPr>
          <w:b/>
          <w:bCs/>
          <w:color w:val="auto"/>
          <w:sz w:val="28"/>
          <w:szCs w:val="28"/>
        </w:rPr>
      </w:pPr>
      <w:r w:rsidRPr="00E94071">
        <w:rPr>
          <w:b/>
          <w:bCs/>
          <w:color w:val="auto"/>
          <w:sz w:val="28"/>
          <w:szCs w:val="28"/>
        </w:rPr>
        <w:t>Model Comparison Results</w:t>
      </w:r>
    </w:p>
    <w:p w14:paraId="229C6941" w14:textId="30BECDEB" w:rsidR="00E94071" w:rsidRDefault="00E94071" w:rsidP="00E94071">
      <w:r w:rsidRPr="00E94071">
        <w:t>Two models—Logistic Regression and Random Forest—were compared using identical features and preprocessing. Evaluation metrics included accuracy, precision, recall, F1-score, and ROC AUC.</w:t>
      </w:r>
    </w:p>
    <w:p w14:paraId="34B1C5DC" w14:textId="38A6E2F7" w:rsidR="00E94071" w:rsidRPr="00E94071" w:rsidRDefault="00E94071" w:rsidP="00E94071">
      <w:pPr>
        <w:jc w:val="center"/>
        <w:rPr>
          <w:b/>
          <w:bCs/>
        </w:rPr>
      </w:pPr>
      <w:r w:rsidRPr="00E94071">
        <w:rPr>
          <w:b/>
          <w:bCs/>
        </w:rPr>
        <w:t>Performance Comparison</w:t>
      </w:r>
    </w:p>
    <w:tbl>
      <w:tblPr>
        <w:tblStyle w:val="TableGrid"/>
        <w:tblW w:w="0" w:type="auto"/>
        <w:tblLook w:val="04A0" w:firstRow="1" w:lastRow="0" w:firstColumn="1" w:lastColumn="0" w:noHBand="0" w:noVBand="1"/>
      </w:tblPr>
      <w:tblGrid>
        <w:gridCol w:w="4556"/>
        <w:gridCol w:w="4557"/>
        <w:gridCol w:w="4557"/>
      </w:tblGrid>
      <w:tr w:rsidR="00E94071" w:rsidRPr="00E94071" w14:paraId="740372BB" w14:textId="77777777">
        <w:tc>
          <w:tcPr>
            <w:tcW w:w="4556" w:type="dxa"/>
          </w:tcPr>
          <w:p w14:paraId="41FFB077" w14:textId="0D96940F" w:rsidR="00E94071" w:rsidRPr="00E94071" w:rsidRDefault="00E94071" w:rsidP="00E94071">
            <w:pPr>
              <w:rPr>
                <w:b/>
                <w:bCs/>
              </w:rPr>
            </w:pPr>
            <w:r>
              <w:rPr>
                <w:b/>
                <w:bCs/>
              </w:rPr>
              <w:t>Metric</w:t>
            </w:r>
          </w:p>
        </w:tc>
        <w:tc>
          <w:tcPr>
            <w:tcW w:w="4557" w:type="dxa"/>
          </w:tcPr>
          <w:p w14:paraId="0921939C" w14:textId="5564BA0E" w:rsidR="00E94071" w:rsidRPr="00E94071" w:rsidRDefault="00E94071" w:rsidP="00E94071">
            <w:pPr>
              <w:rPr>
                <w:b/>
                <w:bCs/>
              </w:rPr>
            </w:pPr>
            <w:r>
              <w:rPr>
                <w:b/>
                <w:bCs/>
              </w:rPr>
              <w:t>Logistic Regression</w:t>
            </w:r>
          </w:p>
        </w:tc>
        <w:tc>
          <w:tcPr>
            <w:tcW w:w="4557" w:type="dxa"/>
          </w:tcPr>
          <w:p w14:paraId="68287AFF" w14:textId="3C500682" w:rsidR="00E94071" w:rsidRPr="00E94071" w:rsidRDefault="00E94071" w:rsidP="00E94071">
            <w:pPr>
              <w:rPr>
                <w:b/>
                <w:bCs/>
              </w:rPr>
            </w:pPr>
            <w:r>
              <w:rPr>
                <w:b/>
                <w:bCs/>
              </w:rPr>
              <w:t>Random Forest</w:t>
            </w:r>
          </w:p>
        </w:tc>
      </w:tr>
      <w:tr w:rsidR="00E94071" w14:paraId="3C93C343" w14:textId="77777777">
        <w:tc>
          <w:tcPr>
            <w:tcW w:w="4556" w:type="dxa"/>
          </w:tcPr>
          <w:p w14:paraId="435577EE" w14:textId="615839BA" w:rsidR="00E94071" w:rsidRDefault="00E94071" w:rsidP="00E94071">
            <w:r>
              <w:t>Accuracy</w:t>
            </w:r>
          </w:p>
        </w:tc>
        <w:tc>
          <w:tcPr>
            <w:tcW w:w="4557" w:type="dxa"/>
          </w:tcPr>
          <w:p w14:paraId="40E6B303" w14:textId="3E4566D2" w:rsidR="00E94071" w:rsidRDefault="00E94071" w:rsidP="00E94071">
            <w:r>
              <w:t>0.82</w:t>
            </w:r>
          </w:p>
        </w:tc>
        <w:tc>
          <w:tcPr>
            <w:tcW w:w="4557" w:type="dxa"/>
          </w:tcPr>
          <w:p w14:paraId="6D6E53DA" w14:textId="6EC726B6" w:rsidR="00E94071" w:rsidRDefault="00E94071" w:rsidP="00E94071">
            <w:r>
              <w:t>0.85</w:t>
            </w:r>
          </w:p>
        </w:tc>
      </w:tr>
      <w:tr w:rsidR="00E94071" w14:paraId="66CC7DB6" w14:textId="77777777">
        <w:tc>
          <w:tcPr>
            <w:tcW w:w="4556" w:type="dxa"/>
          </w:tcPr>
          <w:p w14:paraId="0BB6BEEE" w14:textId="30F50238" w:rsidR="00E94071" w:rsidRDefault="00E94071" w:rsidP="00E94071">
            <w:r>
              <w:t>Precision</w:t>
            </w:r>
          </w:p>
        </w:tc>
        <w:tc>
          <w:tcPr>
            <w:tcW w:w="4557" w:type="dxa"/>
          </w:tcPr>
          <w:p w14:paraId="7CC75EEA" w14:textId="5891637A" w:rsidR="00E94071" w:rsidRDefault="00E94071" w:rsidP="00E94071">
            <w:r>
              <w:t>0.69</w:t>
            </w:r>
          </w:p>
        </w:tc>
        <w:tc>
          <w:tcPr>
            <w:tcW w:w="4557" w:type="dxa"/>
          </w:tcPr>
          <w:p w14:paraId="07912887" w14:textId="56C807DF" w:rsidR="00E94071" w:rsidRDefault="00E94071" w:rsidP="00E94071">
            <w:r>
              <w:t>0.72</w:t>
            </w:r>
          </w:p>
        </w:tc>
      </w:tr>
      <w:tr w:rsidR="00E94071" w14:paraId="586157B4" w14:textId="77777777">
        <w:tc>
          <w:tcPr>
            <w:tcW w:w="4556" w:type="dxa"/>
          </w:tcPr>
          <w:p w14:paraId="4DFF9193" w14:textId="275D6B5A" w:rsidR="00E94071" w:rsidRDefault="00E94071" w:rsidP="00E94071">
            <w:r>
              <w:t>Recall</w:t>
            </w:r>
          </w:p>
        </w:tc>
        <w:tc>
          <w:tcPr>
            <w:tcW w:w="4557" w:type="dxa"/>
          </w:tcPr>
          <w:p w14:paraId="608081CD" w14:textId="65F6B148" w:rsidR="00E94071" w:rsidRDefault="00E94071" w:rsidP="00E94071">
            <w:r>
              <w:t>0.56</w:t>
            </w:r>
          </w:p>
        </w:tc>
        <w:tc>
          <w:tcPr>
            <w:tcW w:w="4557" w:type="dxa"/>
          </w:tcPr>
          <w:p w14:paraId="3D0087AA" w14:textId="751C3CF2" w:rsidR="00E94071" w:rsidRDefault="00E94071" w:rsidP="00E94071">
            <w:r>
              <w:t>0.66</w:t>
            </w:r>
          </w:p>
        </w:tc>
      </w:tr>
      <w:tr w:rsidR="00E94071" w14:paraId="0AB4B2AA" w14:textId="77777777">
        <w:tc>
          <w:tcPr>
            <w:tcW w:w="4556" w:type="dxa"/>
          </w:tcPr>
          <w:p w14:paraId="296E7127" w14:textId="6BAAE1FC" w:rsidR="00E94071" w:rsidRDefault="00E94071" w:rsidP="00E94071">
            <w:r>
              <w:t>F1-Score</w:t>
            </w:r>
          </w:p>
        </w:tc>
        <w:tc>
          <w:tcPr>
            <w:tcW w:w="4557" w:type="dxa"/>
          </w:tcPr>
          <w:p w14:paraId="0CF7BA11" w14:textId="7057603E" w:rsidR="00E94071" w:rsidRDefault="00E94071" w:rsidP="00E94071">
            <w:r>
              <w:t>0.62</w:t>
            </w:r>
          </w:p>
        </w:tc>
        <w:tc>
          <w:tcPr>
            <w:tcW w:w="4557" w:type="dxa"/>
          </w:tcPr>
          <w:p w14:paraId="16A9C9F0" w14:textId="5B6E4B16" w:rsidR="00E94071" w:rsidRDefault="00E94071" w:rsidP="00E94071">
            <w:r>
              <w:t>0.69</w:t>
            </w:r>
          </w:p>
        </w:tc>
      </w:tr>
      <w:tr w:rsidR="00E94071" w14:paraId="53E6C53F" w14:textId="77777777">
        <w:tc>
          <w:tcPr>
            <w:tcW w:w="4556" w:type="dxa"/>
          </w:tcPr>
          <w:p w14:paraId="5136D942" w14:textId="2497F94C" w:rsidR="00E94071" w:rsidRDefault="00E94071" w:rsidP="00E94071">
            <w:r>
              <w:t>ROC AUC</w:t>
            </w:r>
          </w:p>
        </w:tc>
        <w:tc>
          <w:tcPr>
            <w:tcW w:w="4557" w:type="dxa"/>
          </w:tcPr>
          <w:p w14:paraId="403986FA" w14:textId="6F3A6852" w:rsidR="00E94071" w:rsidRDefault="00E94071" w:rsidP="00E94071">
            <w:r>
              <w:t>0.79</w:t>
            </w:r>
          </w:p>
        </w:tc>
        <w:tc>
          <w:tcPr>
            <w:tcW w:w="4557" w:type="dxa"/>
          </w:tcPr>
          <w:p w14:paraId="79FC0207" w14:textId="5857D8C7" w:rsidR="00E94071" w:rsidRDefault="00E94071" w:rsidP="00E94071">
            <w:r>
              <w:t>0.84</w:t>
            </w:r>
          </w:p>
        </w:tc>
      </w:tr>
    </w:tbl>
    <w:p w14:paraId="45A9B282" w14:textId="05D02B77" w:rsidR="00E94071" w:rsidRPr="00E94071" w:rsidRDefault="00E94071" w:rsidP="00E94071">
      <w:pPr>
        <w:pStyle w:val="Heading2"/>
        <w:rPr>
          <w:b/>
          <w:bCs/>
          <w:color w:val="auto"/>
          <w:sz w:val="28"/>
          <w:szCs w:val="28"/>
        </w:rPr>
      </w:pPr>
      <w:r w:rsidRPr="00E94071">
        <w:rPr>
          <w:b/>
          <w:bCs/>
          <w:color w:val="auto"/>
          <w:sz w:val="28"/>
          <w:szCs w:val="28"/>
        </w:rPr>
        <w:t>Evaluation and Interpret Results</w:t>
      </w:r>
    </w:p>
    <w:p w14:paraId="5C5A83E1" w14:textId="77777777" w:rsidR="00B0539C" w:rsidRDefault="00B0539C" w:rsidP="00B0539C">
      <w:r>
        <w:t>The Random Forest model consistently outperformed Logistic Regression across all evaluation metrics, particularly in recall—a key priority for this use case. Missing at-risk individuals diminishes the value of a predictive model in public health, where proactive intervention is essential.</w:t>
      </w:r>
    </w:p>
    <w:p w14:paraId="57BCB3F5" w14:textId="7AA2E1AC" w:rsidR="00E94071" w:rsidRDefault="00B0539C" w:rsidP="00B0539C">
      <w:r>
        <w:t>While Logistic Regression offers transparency and ease of explanation, the improvement in F1-score and ROC AUC with Random Forest justifies its selection for deployment. Random Forest's strength lies in its ability to model non-linear interactions among features like BMI, general health, and chronic risk load without overfitting, making it more adaptable for complex population-level datasets.</w:t>
      </w:r>
    </w:p>
    <w:p w14:paraId="1C3958F7" w14:textId="54070FE0" w:rsidR="00E94071" w:rsidRPr="00E94071" w:rsidRDefault="00E94071" w:rsidP="00E94071">
      <w:pPr>
        <w:pStyle w:val="Heading2"/>
        <w:rPr>
          <w:b/>
          <w:bCs/>
          <w:color w:val="auto"/>
          <w:sz w:val="28"/>
          <w:szCs w:val="28"/>
        </w:rPr>
      </w:pPr>
      <w:r w:rsidRPr="00E94071">
        <w:rPr>
          <w:b/>
          <w:bCs/>
          <w:color w:val="auto"/>
          <w:sz w:val="28"/>
          <w:szCs w:val="28"/>
        </w:rPr>
        <w:lastRenderedPageBreak/>
        <w:t>Hyperparameter Tuning</w:t>
      </w:r>
    </w:p>
    <w:p w14:paraId="5D1ECD76" w14:textId="77777777" w:rsidR="00B0539C" w:rsidRDefault="00B0539C" w:rsidP="00B0539C">
      <w:r>
        <w:t>To enhance the Random Forest model, I implemented randomized search over key parameters:</w:t>
      </w:r>
    </w:p>
    <w:p w14:paraId="4D0276E3" w14:textId="17E98C16" w:rsidR="00B0539C" w:rsidRDefault="00B0539C" w:rsidP="00B0539C">
      <w:pPr>
        <w:pStyle w:val="ListParagraph"/>
        <w:numPr>
          <w:ilvl w:val="0"/>
          <w:numId w:val="33"/>
        </w:numPr>
      </w:pPr>
      <w:r>
        <w:t>`n_estimators`: Number of trees in the forest</w:t>
      </w:r>
    </w:p>
    <w:p w14:paraId="686C6A32" w14:textId="77777777" w:rsidR="00B0539C" w:rsidRDefault="00B0539C" w:rsidP="00B0539C">
      <w:pPr>
        <w:pStyle w:val="ListParagraph"/>
        <w:numPr>
          <w:ilvl w:val="0"/>
          <w:numId w:val="33"/>
        </w:numPr>
      </w:pPr>
      <w:r>
        <w:t>`max_depth`: Maximum tree depth</w:t>
      </w:r>
    </w:p>
    <w:p w14:paraId="404F2358" w14:textId="77777777" w:rsidR="00B0539C" w:rsidRDefault="00B0539C" w:rsidP="00B0539C">
      <w:pPr>
        <w:pStyle w:val="ListParagraph"/>
        <w:numPr>
          <w:ilvl w:val="0"/>
          <w:numId w:val="33"/>
        </w:numPr>
      </w:pPr>
      <w:r>
        <w:t>`min_samples_split`: Minimum samples to split an internal node</w:t>
      </w:r>
    </w:p>
    <w:p w14:paraId="5A3E1BFF" w14:textId="5EA37868" w:rsidR="00B0539C" w:rsidRDefault="00B0539C" w:rsidP="00B0539C">
      <w:pPr>
        <w:pStyle w:val="ListParagraph"/>
        <w:numPr>
          <w:ilvl w:val="0"/>
          <w:numId w:val="33"/>
        </w:numPr>
      </w:pPr>
      <w:r>
        <w:t>`max_features`: Number of features considered at each split</w:t>
      </w:r>
    </w:p>
    <w:p w14:paraId="4FDCFC3D" w14:textId="370BC095" w:rsidR="00E94071" w:rsidRDefault="00B0539C" w:rsidP="00B0539C">
      <w:r>
        <w:t>The tuning process increased recall by ~3% and improved model robustness. Final parameters were selected to prioritize generalizability and interpretability, especially for stakeholders with limited data science expertise.</w:t>
      </w:r>
    </w:p>
    <w:p w14:paraId="16AD5842" w14:textId="4DF29537" w:rsidR="00E94071" w:rsidRPr="00E94071" w:rsidRDefault="00E94071" w:rsidP="00E94071">
      <w:pPr>
        <w:pStyle w:val="Heading2"/>
        <w:rPr>
          <w:b/>
          <w:bCs/>
          <w:color w:val="auto"/>
          <w:sz w:val="28"/>
          <w:szCs w:val="28"/>
        </w:rPr>
      </w:pPr>
      <w:r w:rsidRPr="00E94071">
        <w:rPr>
          <w:b/>
          <w:bCs/>
          <w:color w:val="auto"/>
          <w:sz w:val="28"/>
          <w:szCs w:val="28"/>
        </w:rPr>
        <w:t>Generalization Assessment</w:t>
      </w:r>
    </w:p>
    <w:p w14:paraId="35834109" w14:textId="77777777" w:rsidR="00B0539C" w:rsidRDefault="00B0539C" w:rsidP="00B0539C">
      <w:r>
        <w:t>Generalization was evaluated using:</w:t>
      </w:r>
    </w:p>
    <w:p w14:paraId="7C36DB71" w14:textId="77777777" w:rsidR="00B0539C" w:rsidRDefault="00B0539C" w:rsidP="00B0539C">
      <w:pPr>
        <w:pStyle w:val="ListParagraph"/>
        <w:numPr>
          <w:ilvl w:val="0"/>
          <w:numId w:val="34"/>
        </w:numPr>
      </w:pPr>
      <w:r>
        <w:t>5-fold cross-validation</w:t>
      </w:r>
    </w:p>
    <w:p w14:paraId="3DD4D524" w14:textId="77777777" w:rsidR="00B0539C" w:rsidRDefault="00B0539C" w:rsidP="00B0539C">
      <w:pPr>
        <w:pStyle w:val="ListParagraph"/>
        <w:numPr>
          <w:ilvl w:val="0"/>
          <w:numId w:val="34"/>
        </w:numPr>
      </w:pPr>
      <w:r>
        <w:t>Holdout test set comparison</w:t>
      </w:r>
    </w:p>
    <w:p w14:paraId="1F7E1F2C" w14:textId="5DDB36DE" w:rsidR="00B0539C" w:rsidRDefault="00B0539C" w:rsidP="00B0539C">
      <w:pPr>
        <w:pStyle w:val="ListParagraph"/>
        <w:numPr>
          <w:ilvl w:val="0"/>
          <w:numId w:val="34"/>
        </w:numPr>
      </w:pPr>
      <w:r>
        <w:t>ROC curve stability across folds</w:t>
      </w:r>
    </w:p>
    <w:p w14:paraId="0B8C2CE2" w14:textId="4A2E485F" w:rsidR="00E94071" w:rsidRDefault="00B0539C" w:rsidP="00B0539C">
      <w:r>
        <w:t>The Random Forest model showed stable recall performance across folds (standard deviation &lt; 0.03) and minimal drop in test performance, confirming that it generalizes well beyond the training data. These results support its suitability for identifying high-risk individuals in unseen populations.</w:t>
      </w:r>
    </w:p>
    <w:p w14:paraId="48E158A0" w14:textId="57F69AD8" w:rsidR="00E94071" w:rsidRPr="00E94071" w:rsidRDefault="00E94071" w:rsidP="00E94071">
      <w:pPr>
        <w:pStyle w:val="Heading2"/>
        <w:rPr>
          <w:b/>
          <w:bCs/>
          <w:color w:val="auto"/>
          <w:sz w:val="28"/>
          <w:szCs w:val="28"/>
        </w:rPr>
      </w:pPr>
      <w:r w:rsidRPr="00E94071">
        <w:rPr>
          <w:b/>
          <w:bCs/>
          <w:color w:val="auto"/>
          <w:sz w:val="28"/>
          <w:szCs w:val="28"/>
        </w:rPr>
        <w:t>AI Review Summary</w:t>
      </w:r>
    </w:p>
    <w:p w14:paraId="4E04A420" w14:textId="77777777" w:rsidR="00B0539C" w:rsidRDefault="00B0539C" w:rsidP="00B0539C">
      <w:r>
        <w:t>I consulted an AI assistant (ChatGPT) to review the modeling decisions. Key questions included:</w:t>
      </w:r>
    </w:p>
    <w:p w14:paraId="49464077" w14:textId="77777777" w:rsidR="00B0539C" w:rsidRDefault="00B0539C" w:rsidP="00B0539C">
      <w:pPr>
        <w:pStyle w:val="ListParagraph"/>
        <w:numPr>
          <w:ilvl w:val="0"/>
          <w:numId w:val="35"/>
        </w:numPr>
      </w:pPr>
      <w:r>
        <w:t>Does this model align with public health goals?</w:t>
      </w:r>
    </w:p>
    <w:p w14:paraId="6FA1E397" w14:textId="77777777" w:rsidR="00B0539C" w:rsidRDefault="00B0539C" w:rsidP="00B0539C">
      <w:pPr>
        <w:pStyle w:val="ListParagraph"/>
        <w:numPr>
          <w:ilvl w:val="0"/>
          <w:numId w:val="35"/>
        </w:numPr>
      </w:pPr>
      <w:r>
        <w:t>Are the metrics selected appropriate given the 14% class imbalance?</w:t>
      </w:r>
    </w:p>
    <w:p w14:paraId="5C44CD32" w14:textId="77777777" w:rsidR="00B0539C" w:rsidRDefault="00B0539C" w:rsidP="00B0539C">
      <w:pPr>
        <w:pStyle w:val="ListParagraph"/>
        <w:numPr>
          <w:ilvl w:val="0"/>
          <w:numId w:val="35"/>
        </w:numPr>
      </w:pPr>
      <w:r>
        <w:t>Are there simpler or more effective tuning or sampling methods?</w:t>
      </w:r>
    </w:p>
    <w:p w14:paraId="38BC3823" w14:textId="6D0E64FA" w:rsidR="00E94071" w:rsidRDefault="00B0539C" w:rsidP="00B0539C">
      <w:pPr>
        <w:pStyle w:val="ListParagraph"/>
        <w:numPr>
          <w:ilvl w:val="0"/>
          <w:numId w:val="35"/>
        </w:numPr>
      </w:pPr>
      <w:r>
        <w:t>Should oversampling be applied now or deferred?</w:t>
      </w:r>
    </w:p>
    <w:p w14:paraId="0CA768E7" w14:textId="49877C0D" w:rsidR="00B35A55" w:rsidRPr="00B35A55" w:rsidRDefault="00B35A55" w:rsidP="00B35A55">
      <w:pPr>
        <w:rPr>
          <w:b/>
          <w:bCs/>
        </w:rPr>
      </w:pPr>
      <w:r w:rsidRPr="00B35A55">
        <w:rPr>
          <w:b/>
          <w:bCs/>
        </w:rPr>
        <w:lastRenderedPageBreak/>
        <w:t>AI Recommendations</w:t>
      </w:r>
    </w:p>
    <w:p w14:paraId="0D7012E1" w14:textId="77777777" w:rsidR="00B35A55" w:rsidRDefault="00B35A55" w:rsidP="00B35A55">
      <w:pPr>
        <w:pStyle w:val="ListParagraph"/>
        <w:numPr>
          <w:ilvl w:val="0"/>
          <w:numId w:val="36"/>
        </w:numPr>
      </w:pPr>
      <w:r>
        <w:t>Clarify priority of recall: Explain its importance over accuracy in outreach-focused campaigns.</w:t>
      </w:r>
    </w:p>
    <w:p w14:paraId="1F90F49E" w14:textId="77777777" w:rsidR="00B35A55" w:rsidRDefault="00B35A55" w:rsidP="00B35A55">
      <w:pPr>
        <w:pStyle w:val="ListParagraph"/>
        <w:numPr>
          <w:ilvl w:val="0"/>
          <w:numId w:val="36"/>
        </w:numPr>
      </w:pPr>
      <w:r>
        <w:t>Test other tree-based models: Explore XGBoost or LightGBM for further gains.</w:t>
      </w:r>
    </w:p>
    <w:p w14:paraId="54D820C2" w14:textId="77777777" w:rsidR="00B35A55" w:rsidRDefault="00B35A55" w:rsidP="00B35A55">
      <w:pPr>
        <w:pStyle w:val="ListParagraph"/>
        <w:numPr>
          <w:ilvl w:val="0"/>
          <w:numId w:val="36"/>
        </w:numPr>
      </w:pPr>
      <w:r>
        <w:t>Monitor class imbalance: Evaluate whether synthetic oversampling (e.g., SMOTE) might improve sensitivity.</w:t>
      </w:r>
    </w:p>
    <w:p w14:paraId="0960F14C" w14:textId="50D9F6A6" w:rsidR="00B35A55" w:rsidRPr="00E94071" w:rsidRDefault="00B35A55" w:rsidP="00B35A55">
      <w:pPr>
        <w:pStyle w:val="ListParagraph"/>
        <w:numPr>
          <w:ilvl w:val="0"/>
          <w:numId w:val="36"/>
        </w:numPr>
      </w:pPr>
      <w:r>
        <w:t>Expand ensemble strategies: Combine models for potential performance lift.</w:t>
      </w:r>
    </w:p>
    <w:p w14:paraId="687BF3BB" w14:textId="026DA63F" w:rsidR="00E94071" w:rsidRDefault="00E94071" w:rsidP="00E94071">
      <w:pPr>
        <w:pStyle w:val="Heading2"/>
        <w:rPr>
          <w:b/>
          <w:bCs/>
          <w:color w:val="auto"/>
          <w:sz w:val="28"/>
          <w:szCs w:val="28"/>
        </w:rPr>
      </w:pPr>
      <w:r w:rsidRPr="00E94071">
        <w:rPr>
          <w:b/>
          <w:bCs/>
          <w:color w:val="auto"/>
          <w:sz w:val="28"/>
          <w:szCs w:val="28"/>
        </w:rPr>
        <w:t>Summarize the AI Feedback</w:t>
      </w:r>
    </w:p>
    <w:p w14:paraId="4C852852" w14:textId="0FF836F7" w:rsidR="00B35A55" w:rsidRDefault="00B35A55" w:rsidP="00B35A55">
      <w:r>
        <w:t>Based on the AI feedback:</w:t>
      </w:r>
    </w:p>
    <w:p w14:paraId="3B3E6B81" w14:textId="77777777" w:rsidR="00B35A55" w:rsidRDefault="00B35A55" w:rsidP="00B35A55">
      <w:pPr>
        <w:pStyle w:val="ListParagraph"/>
        <w:numPr>
          <w:ilvl w:val="0"/>
          <w:numId w:val="37"/>
        </w:numPr>
      </w:pPr>
      <w:r>
        <w:t>I reinforced why recall is prioritized: Missing true positives weakens the case for targeted intervention.</w:t>
      </w:r>
    </w:p>
    <w:p w14:paraId="31D768D4" w14:textId="77777777" w:rsidR="00B35A55" w:rsidRDefault="00B35A55" w:rsidP="00B35A55">
      <w:pPr>
        <w:pStyle w:val="ListParagraph"/>
        <w:numPr>
          <w:ilvl w:val="0"/>
          <w:numId w:val="37"/>
        </w:numPr>
      </w:pPr>
      <w:r>
        <w:t>I flagged XGBoost as a next step for future iterations.</w:t>
      </w:r>
    </w:p>
    <w:p w14:paraId="12EAFF48" w14:textId="201DC9E7" w:rsidR="00E94071" w:rsidRDefault="00B35A55" w:rsidP="00B35A55">
      <w:pPr>
        <w:pStyle w:val="ListParagraph"/>
        <w:numPr>
          <w:ilvl w:val="0"/>
          <w:numId w:val="37"/>
        </w:numPr>
      </w:pPr>
      <w:r>
        <w:t>I chose to defer oversampling: While class imbalance exists, the current model performs well without it. Introducing synthetic data may be considered later to boost sensitivity if needed.</w:t>
      </w:r>
    </w:p>
    <w:p w14:paraId="08A1DCCB" w14:textId="53EBF833" w:rsidR="00E94071" w:rsidRPr="00E94071" w:rsidRDefault="00E94071" w:rsidP="00E94071">
      <w:pPr>
        <w:pStyle w:val="Heading2"/>
        <w:rPr>
          <w:b/>
          <w:bCs/>
          <w:color w:val="auto"/>
          <w:sz w:val="28"/>
          <w:szCs w:val="28"/>
        </w:rPr>
      </w:pPr>
      <w:r w:rsidRPr="00E94071">
        <w:rPr>
          <w:b/>
          <w:bCs/>
          <w:color w:val="auto"/>
          <w:sz w:val="28"/>
          <w:szCs w:val="28"/>
        </w:rPr>
        <w:t>Conclusion</w:t>
      </w:r>
    </w:p>
    <w:p w14:paraId="53DCF8F1" w14:textId="77777777" w:rsidR="00B35A55" w:rsidRDefault="00B35A55" w:rsidP="00B35A55">
      <w:r>
        <w:t>The Random Forest model is the recommended approach for predicting diabetes risk among Texas adults. Its improved sensitivity and generalization outperform the logistic regression baseline, and its ability to identify individuals with high probability of developing diabetes supports early intervention goals.</w:t>
      </w:r>
    </w:p>
    <w:p w14:paraId="21B7C221" w14:textId="46C122FF" w:rsidR="00E94071" w:rsidRDefault="00B35A55" w:rsidP="00B35A55">
      <w:r>
        <w:t>This phase validated that advanced modeling techniques can complement domain-driven features like Chronic Risk Load and Healthcare Barrier Index. Moving forward, I plan to explore boosting methods and test whether hybrid ensemble models can deliver further performance gains without compromising interpretability.</w:t>
      </w:r>
    </w:p>
    <w:p w14:paraId="727B1366" w14:textId="1668A24B" w:rsidR="00E94071" w:rsidRDefault="00E94071" w:rsidP="00E94071">
      <w:pPr>
        <w:pStyle w:val="Heading2"/>
        <w:rPr>
          <w:b/>
          <w:bCs/>
          <w:color w:val="auto"/>
          <w:sz w:val="28"/>
          <w:szCs w:val="28"/>
        </w:rPr>
      </w:pPr>
      <w:r w:rsidRPr="00E94071">
        <w:rPr>
          <w:b/>
          <w:bCs/>
          <w:color w:val="auto"/>
          <w:sz w:val="28"/>
          <w:szCs w:val="28"/>
        </w:rPr>
        <w:t>References</w:t>
      </w:r>
    </w:p>
    <w:p w14:paraId="6D83E7ED" w14:textId="51541D37" w:rsidR="00B35A55" w:rsidRDefault="00B35A55" w:rsidP="00B35A55">
      <w:pPr>
        <w:pStyle w:val="ListParagraph"/>
        <w:numPr>
          <w:ilvl w:val="0"/>
          <w:numId w:val="38"/>
        </w:numPr>
      </w:pPr>
      <w:r>
        <w:t>American Diabetes Association. (2023). The Economic Costs of Diabetes in the U.S. [https://www.diabetes.org/resources/statistics/cost-diabetes](</w:t>
      </w:r>
      <w:hyperlink r:id="rId8" w:history="1">
        <w:r w:rsidRPr="00646293">
          <w:rPr>
            <w:rStyle w:val="Hyperlink"/>
          </w:rPr>
          <w:t>https://www.diabetes.org/resources/statistics/cost-diabetes</w:t>
        </w:r>
      </w:hyperlink>
      <w:r>
        <w:t>)</w:t>
      </w:r>
    </w:p>
    <w:p w14:paraId="71960860" w14:textId="6927E1C6" w:rsidR="00B35A55" w:rsidRDefault="00B35A55" w:rsidP="00B35A55">
      <w:pPr>
        <w:pStyle w:val="ListParagraph"/>
        <w:numPr>
          <w:ilvl w:val="0"/>
          <w:numId w:val="38"/>
        </w:numPr>
      </w:pPr>
      <w:r>
        <w:t>Centers for Disease Control and Prevention. (2024). Behavioral Risk Factor Surveillance System Survey Data. [https://www.cdc.gov/brfss/index.html](</w:t>
      </w:r>
      <w:hyperlink r:id="rId9" w:history="1">
        <w:r w:rsidRPr="00646293">
          <w:rPr>
            <w:rStyle w:val="Hyperlink"/>
          </w:rPr>
          <w:t>https://www.cdc.gov/brfss/index.html</w:t>
        </w:r>
      </w:hyperlink>
      <w:r>
        <w:t>)</w:t>
      </w:r>
    </w:p>
    <w:p w14:paraId="12605597" w14:textId="5CE4E9EC" w:rsidR="00B35A55" w:rsidRDefault="00B35A55" w:rsidP="00B35A55">
      <w:pPr>
        <w:pStyle w:val="ListParagraph"/>
        <w:numPr>
          <w:ilvl w:val="0"/>
          <w:numId w:val="38"/>
        </w:numPr>
      </w:pPr>
      <w:r>
        <w:lastRenderedPageBreak/>
        <w:t>Harvard T.H. Chan School of Public Health. (2021). Predictive Analytics in Chronic Disease Management. [https://www.hsph.harvard.edu](</w:t>
      </w:r>
      <w:hyperlink r:id="rId10" w:history="1">
        <w:r w:rsidRPr="00646293">
          <w:rPr>
            <w:rStyle w:val="Hyperlink"/>
          </w:rPr>
          <w:t>https://www.hsph.harvard.edu</w:t>
        </w:r>
      </w:hyperlink>
      <w:r>
        <w:t>)</w:t>
      </w:r>
    </w:p>
    <w:p w14:paraId="132B5799" w14:textId="324B705C" w:rsidR="00B35A55" w:rsidRPr="00B35A55" w:rsidRDefault="00B35A55" w:rsidP="00B35A55">
      <w:pPr>
        <w:pStyle w:val="ListParagraph"/>
        <w:numPr>
          <w:ilvl w:val="0"/>
          <w:numId w:val="38"/>
        </w:numPr>
      </w:pPr>
      <w:r>
        <w:t xml:space="preserve">OpenAI. (2025). AI-Powered Review of Data Preparation and Exploration. Internal </w:t>
      </w:r>
      <w:r>
        <w:t>tools</w:t>
      </w:r>
      <w:r>
        <w:t xml:space="preserve"> use only.</w:t>
      </w:r>
    </w:p>
    <w:sectPr w:rsidR="00B35A55" w:rsidRPr="00B35A55" w:rsidSect="005768C3">
      <w:footerReference w:type="default" r:id="rId11"/>
      <w:pgSz w:w="15840" w:h="12240" w:orient="landscape"/>
      <w:pgMar w:top="144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6FC98" w14:textId="77777777" w:rsidR="003B41F0" w:rsidRDefault="003B41F0" w:rsidP="00D31F9B">
      <w:pPr>
        <w:spacing w:after="0" w:line="240" w:lineRule="auto"/>
      </w:pPr>
      <w:r>
        <w:separator/>
      </w:r>
    </w:p>
  </w:endnote>
  <w:endnote w:type="continuationSeparator" w:id="0">
    <w:p w14:paraId="4EF4555F" w14:textId="77777777" w:rsidR="003B41F0" w:rsidRDefault="003B41F0" w:rsidP="00D31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2A97B" w14:textId="5DD3A903" w:rsidR="002879E8" w:rsidRPr="002879E8" w:rsidRDefault="002879E8">
    <w:pPr>
      <w:pStyle w:val="Footer"/>
      <w:jc w:val="right"/>
      <w:rPr>
        <w:i/>
        <w:iCs/>
      </w:rPr>
    </w:pPr>
    <w:r w:rsidRPr="002879E8">
      <w:rPr>
        <w:i/>
        <w:iCs/>
        <w:color w:val="156082" w:themeColor="accent1"/>
        <w:sz w:val="20"/>
        <w:szCs w:val="20"/>
      </w:rPr>
      <w:t xml:space="preserve">Seif Kungulio | Page. </w:t>
    </w:r>
    <w:r w:rsidRPr="002879E8">
      <w:rPr>
        <w:i/>
        <w:iCs/>
        <w:color w:val="156082" w:themeColor="accent1"/>
        <w:sz w:val="20"/>
        <w:szCs w:val="20"/>
      </w:rPr>
      <w:fldChar w:fldCharType="begin"/>
    </w:r>
    <w:r w:rsidRPr="002879E8">
      <w:rPr>
        <w:i/>
        <w:iCs/>
        <w:color w:val="156082" w:themeColor="accent1"/>
        <w:sz w:val="20"/>
        <w:szCs w:val="20"/>
      </w:rPr>
      <w:instrText xml:space="preserve"> PAGE  \* Arabic </w:instrText>
    </w:r>
    <w:r w:rsidRPr="002879E8">
      <w:rPr>
        <w:i/>
        <w:iCs/>
        <w:color w:val="156082" w:themeColor="accent1"/>
        <w:sz w:val="20"/>
        <w:szCs w:val="20"/>
      </w:rPr>
      <w:fldChar w:fldCharType="separate"/>
    </w:r>
    <w:r w:rsidRPr="002879E8">
      <w:rPr>
        <w:i/>
        <w:iCs/>
        <w:noProof/>
        <w:color w:val="156082" w:themeColor="accent1"/>
        <w:sz w:val="20"/>
        <w:szCs w:val="20"/>
      </w:rPr>
      <w:t>1</w:t>
    </w:r>
    <w:r w:rsidRPr="002879E8">
      <w:rPr>
        <w:i/>
        <w:iCs/>
        <w:color w:val="156082" w:themeColor="accent1"/>
        <w:sz w:val="20"/>
        <w:szCs w:val="20"/>
      </w:rPr>
      <w:fldChar w:fldCharType="end"/>
    </w:r>
  </w:p>
  <w:p w14:paraId="4331D557" w14:textId="289A1C6F" w:rsidR="002879E8" w:rsidRDefault="00287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9605F" w14:textId="77777777" w:rsidR="003B41F0" w:rsidRDefault="003B41F0" w:rsidP="00D31F9B">
      <w:pPr>
        <w:spacing w:after="0" w:line="240" w:lineRule="auto"/>
      </w:pPr>
      <w:r>
        <w:separator/>
      </w:r>
    </w:p>
  </w:footnote>
  <w:footnote w:type="continuationSeparator" w:id="0">
    <w:p w14:paraId="31760160" w14:textId="77777777" w:rsidR="003B41F0" w:rsidRDefault="003B41F0" w:rsidP="00D31F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4D6F"/>
    <w:multiLevelType w:val="hybridMultilevel"/>
    <w:tmpl w:val="CFA8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84E04"/>
    <w:multiLevelType w:val="hybridMultilevel"/>
    <w:tmpl w:val="50BC9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62E2A"/>
    <w:multiLevelType w:val="hybridMultilevel"/>
    <w:tmpl w:val="6320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92F21"/>
    <w:multiLevelType w:val="hybridMultilevel"/>
    <w:tmpl w:val="2318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468DA"/>
    <w:multiLevelType w:val="hybridMultilevel"/>
    <w:tmpl w:val="5CAE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B04B0"/>
    <w:multiLevelType w:val="hybridMultilevel"/>
    <w:tmpl w:val="55EC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C5B69"/>
    <w:multiLevelType w:val="hybridMultilevel"/>
    <w:tmpl w:val="4278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B7C13"/>
    <w:multiLevelType w:val="hybridMultilevel"/>
    <w:tmpl w:val="586E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6691"/>
    <w:multiLevelType w:val="hybridMultilevel"/>
    <w:tmpl w:val="0D9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659FD"/>
    <w:multiLevelType w:val="hybridMultilevel"/>
    <w:tmpl w:val="32DA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601A3"/>
    <w:multiLevelType w:val="hybridMultilevel"/>
    <w:tmpl w:val="101C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7054C"/>
    <w:multiLevelType w:val="hybridMultilevel"/>
    <w:tmpl w:val="70F0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1E1AF6"/>
    <w:multiLevelType w:val="hybridMultilevel"/>
    <w:tmpl w:val="ECECBE8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31390BD7"/>
    <w:multiLevelType w:val="hybridMultilevel"/>
    <w:tmpl w:val="433A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73813"/>
    <w:multiLevelType w:val="hybridMultilevel"/>
    <w:tmpl w:val="0AC6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72A94"/>
    <w:multiLevelType w:val="hybridMultilevel"/>
    <w:tmpl w:val="3246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213EB"/>
    <w:multiLevelType w:val="hybridMultilevel"/>
    <w:tmpl w:val="C3C0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351916"/>
    <w:multiLevelType w:val="hybridMultilevel"/>
    <w:tmpl w:val="50400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3557AC"/>
    <w:multiLevelType w:val="hybridMultilevel"/>
    <w:tmpl w:val="3770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70460"/>
    <w:multiLevelType w:val="hybridMultilevel"/>
    <w:tmpl w:val="3528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670D2"/>
    <w:multiLevelType w:val="hybridMultilevel"/>
    <w:tmpl w:val="DA3C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358DA"/>
    <w:multiLevelType w:val="hybridMultilevel"/>
    <w:tmpl w:val="BB1A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DB206C"/>
    <w:multiLevelType w:val="hybridMultilevel"/>
    <w:tmpl w:val="1E4A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4554C7"/>
    <w:multiLevelType w:val="hybridMultilevel"/>
    <w:tmpl w:val="5E82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0212E"/>
    <w:multiLevelType w:val="hybridMultilevel"/>
    <w:tmpl w:val="370EA0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FB5D9B"/>
    <w:multiLevelType w:val="hybridMultilevel"/>
    <w:tmpl w:val="A6C0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7C559C"/>
    <w:multiLevelType w:val="hybridMultilevel"/>
    <w:tmpl w:val="FB8E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152ECB"/>
    <w:multiLevelType w:val="hybridMultilevel"/>
    <w:tmpl w:val="5A88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33473E"/>
    <w:multiLevelType w:val="hybridMultilevel"/>
    <w:tmpl w:val="C56AF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A4601EE"/>
    <w:multiLevelType w:val="hybridMultilevel"/>
    <w:tmpl w:val="6428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B6485B"/>
    <w:multiLevelType w:val="hybridMultilevel"/>
    <w:tmpl w:val="F1225F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0975C2D"/>
    <w:multiLevelType w:val="hybridMultilevel"/>
    <w:tmpl w:val="EC3A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720AAF"/>
    <w:multiLevelType w:val="hybridMultilevel"/>
    <w:tmpl w:val="1DD4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D9254A"/>
    <w:multiLevelType w:val="hybridMultilevel"/>
    <w:tmpl w:val="8498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0C7784"/>
    <w:multiLevelType w:val="hybridMultilevel"/>
    <w:tmpl w:val="C49E5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A06761"/>
    <w:multiLevelType w:val="hybridMultilevel"/>
    <w:tmpl w:val="9494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702C7D"/>
    <w:multiLevelType w:val="hybridMultilevel"/>
    <w:tmpl w:val="02D61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EBD662D"/>
    <w:multiLevelType w:val="hybridMultilevel"/>
    <w:tmpl w:val="2950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522994">
    <w:abstractNumId w:val="29"/>
  </w:num>
  <w:num w:numId="2" w16cid:durableId="1355154989">
    <w:abstractNumId w:val="7"/>
  </w:num>
  <w:num w:numId="3" w16cid:durableId="1521159253">
    <w:abstractNumId w:val="21"/>
  </w:num>
  <w:num w:numId="4" w16cid:durableId="1351031261">
    <w:abstractNumId w:val="31"/>
  </w:num>
  <w:num w:numId="5" w16cid:durableId="1115291851">
    <w:abstractNumId w:val="3"/>
  </w:num>
  <w:num w:numId="6" w16cid:durableId="527644927">
    <w:abstractNumId w:val="16"/>
  </w:num>
  <w:num w:numId="7" w16cid:durableId="979925619">
    <w:abstractNumId w:val="32"/>
  </w:num>
  <w:num w:numId="8" w16cid:durableId="289093236">
    <w:abstractNumId w:val="14"/>
  </w:num>
  <w:num w:numId="9" w16cid:durableId="1340738642">
    <w:abstractNumId w:val="20"/>
  </w:num>
  <w:num w:numId="10" w16cid:durableId="259795547">
    <w:abstractNumId w:val="11"/>
  </w:num>
  <w:num w:numId="11" w16cid:durableId="981346470">
    <w:abstractNumId w:val="6"/>
  </w:num>
  <w:num w:numId="12" w16cid:durableId="1188762555">
    <w:abstractNumId w:val="5"/>
  </w:num>
  <w:num w:numId="13" w16cid:durableId="498883361">
    <w:abstractNumId w:val="27"/>
  </w:num>
  <w:num w:numId="14" w16cid:durableId="792754282">
    <w:abstractNumId w:val="23"/>
  </w:num>
  <w:num w:numId="15" w16cid:durableId="858007213">
    <w:abstractNumId w:val="34"/>
  </w:num>
  <w:num w:numId="16" w16cid:durableId="1733041848">
    <w:abstractNumId w:val="8"/>
  </w:num>
  <w:num w:numId="17" w16cid:durableId="59131910">
    <w:abstractNumId w:val="19"/>
  </w:num>
  <w:num w:numId="18" w16cid:durableId="2077126891">
    <w:abstractNumId w:val="13"/>
  </w:num>
  <w:num w:numId="19" w16cid:durableId="1343707402">
    <w:abstractNumId w:val="9"/>
  </w:num>
  <w:num w:numId="20" w16cid:durableId="85005591">
    <w:abstractNumId w:val="24"/>
  </w:num>
  <w:num w:numId="21" w16cid:durableId="1708873363">
    <w:abstractNumId w:val="36"/>
  </w:num>
  <w:num w:numId="22" w16cid:durableId="135533716">
    <w:abstractNumId w:val="10"/>
  </w:num>
  <w:num w:numId="23" w16cid:durableId="1052848162">
    <w:abstractNumId w:val="15"/>
  </w:num>
  <w:num w:numId="24" w16cid:durableId="1625962325">
    <w:abstractNumId w:val="37"/>
  </w:num>
  <w:num w:numId="25" w16cid:durableId="1113478286">
    <w:abstractNumId w:val="4"/>
  </w:num>
  <w:num w:numId="26" w16cid:durableId="1894081123">
    <w:abstractNumId w:val="22"/>
  </w:num>
  <w:num w:numId="27" w16cid:durableId="596905683">
    <w:abstractNumId w:val="26"/>
  </w:num>
  <w:num w:numId="28" w16cid:durableId="369452294">
    <w:abstractNumId w:val="33"/>
  </w:num>
  <w:num w:numId="29" w16cid:durableId="472522165">
    <w:abstractNumId w:val="28"/>
  </w:num>
  <w:num w:numId="30" w16cid:durableId="986712122">
    <w:abstractNumId w:val="17"/>
  </w:num>
  <w:num w:numId="31" w16cid:durableId="454835385">
    <w:abstractNumId w:val="25"/>
  </w:num>
  <w:num w:numId="32" w16cid:durableId="1532109773">
    <w:abstractNumId w:val="12"/>
  </w:num>
  <w:num w:numId="33" w16cid:durableId="963003018">
    <w:abstractNumId w:val="30"/>
  </w:num>
  <w:num w:numId="34" w16cid:durableId="1923876637">
    <w:abstractNumId w:val="2"/>
  </w:num>
  <w:num w:numId="35" w16cid:durableId="995458149">
    <w:abstractNumId w:val="1"/>
  </w:num>
  <w:num w:numId="36" w16cid:durableId="873082221">
    <w:abstractNumId w:val="35"/>
  </w:num>
  <w:num w:numId="37" w16cid:durableId="1132792423">
    <w:abstractNumId w:val="18"/>
  </w:num>
  <w:num w:numId="38" w16cid:durableId="341467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AA"/>
    <w:rsid w:val="000054A6"/>
    <w:rsid w:val="00006A09"/>
    <w:rsid w:val="00025D98"/>
    <w:rsid w:val="00053E4E"/>
    <w:rsid w:val="00064335"/>
    <w:rsid w:val="0007230D"/>
    <w:rsid w:val="000D6C74"/>
    <w:rsid w:val="000D719E"/>
    <w:rsid w:val="001028D1"/>
    <w:rsid w:val="001159E1"/>
    <w:rsid w:val="00115EAA"/>
    <w:rsid w:val="00154F1D"/>
    <w:rsid w:val="00155469"/>
    <w:rsid w:val="001841A4"/>
    <w:rsid w:val="001A61A1"/>
    <w:rsid w:val="001D7E08"/>
    <w:rsid w:val="001F0C2B"/>
    <w:rsid w:val="002240B2"/>
    <w:rsid w:val="00235637"/>
    <w:rsid w:val="002665DB"/>
    <w:rsid w:val="002879E8"/>
    <w:rsid w:val="002922CC"/>
    <w:rsid w:val="002C3E98"/>
    <w:rsid w:val="002E181E"/>
    <w:rsid w:val="002E2867"/>
    <w:rsid w:val="00304DD0"/>
    <w:rsid w:val="00354459"/>
    <w:rsid w:val="00367A95"/>
    <w:rsid w:val="00372676"/>
    <w:rsid w:val="003832CF"/>
    <w:rsid w:val="003911E1"/>
    <w:rsid w:val="003A3515"/>
    <w:rsid w:val="003A3E5B"/>
    <w:rsid w:val="003A6123"/>
    <w:rsid w:val="003B1D14"/>
    <w:rsid w:val="003B41F0"/>
    <w:rsid w:val="003E1B4F"/>
    <w:rsid w:val="0040291A"/>
    <w:rsid w:val="00422A1C"/>
    <w:rsid w:val="00446971"/>
    <w:rsid w:val="00484CE9"/>
    <w:rsid w:val="004D064D"/>
    <w:rsid w:val="004D45A3"/>
    <w:rsid w:val="004E6E2F"/>
    <w:rsid w:val="0050279E"/>
    <w:rsid w:val="00502906"/>
    <w:rsid w:val="00547891"/>
    <w:rsid w:val="00550DFC"/>
    <w:rsid w:val="00563CC1"/>
    <w:rsid w:val="00566C1F"/>
    <w:rsid w:val="00573292"/>
    <w:rsid w:val="005768C3"/>
    <w:rsid w:val="005901AF"/>
    <w:rsid w:val="005A7C5C"/>
    <w:rsid w:val="005E20B5"/>
    <w:rsid w:val="005E72E8"/>
    <w:rsid w:val="00602477"/>
    <w:rsid w:val="00623441"/>
    <w:rsid w:val="0062745F"/>
    <w:rsid w:val="00657D87"/>
    <w:rsid w:val="00687A96"/>
    <w:rsid w:val="00692577"/>
    <w:rsid w:val="007142C3"/>
    <w:rsid w:val="00715B7F"/>
    <w:rsid w:val="00744C6F"/>
    <w:rsid w:val="00746B4B"/>
    <w:rsid w:val="0077096C"/>
    <w:rsid w:val="00771549"/>
    <w:rsid w:val="00793D82"/>
    <w:rsid w:val="007D55A9"/>
    <w:rsid w:val="007E355F"/>
    <w:rsid w:val="007E68E5"/>
    <w:rsid w:val="007F41A3"/>
    <w:rsid w:val="008001CA"/>
    <w:rsid w:val="00804028"/>
    <w:rsid w:val="00830475"/>
    <w:rsid w:val="0083345D"/>
    <w:rsid w:val="009A2524"/>
    <w:rsid w:val="009B04E9"/>
    <w:rsid w:val="009B11F6"/>
    <w:rsid w:val="009C0E93"/>
    <w:rsid w:val="009F1FA8"/>
    <w:rsid w:val="00A14336"/>
    <w:rsid w:val="00A23829"/>
    <w:rsid w:val="00A244D2"/>
    <w:rsid w:val="00A276E0"/>
    <w:rsid w:val="00A40FDE"/>
    <w:rsid w:val="00A85360"/>
    <w:rsid w:val="00AF175D"/>
    <w:rsid w:val="00AF47A6"/>
    <w:rsid w:val="00B0539C"/>
    <w:rsid w:val="00B22899"/>
    <w:rsid w:val="00B35A55"/>
    <w:rsid w:val="00B91F02"/>
    <w:rsid w:val="00BC5E91"/>
    <w:rsid w:val="00BD1C39"/>
    <w:rsid w:val="00C62276"/>
    <w:rsid w:val="00D07A0B"/>
    <w:rsid w:val="00D24464"/>
    <w:rsid w:val="00D31F9B"/>
    <w:rsid w:val="00D567E6"/>
    <w:rsid w:val="00DB1688"/>
    <w:rsid w:val="00DE43BA"/>
    <w:rsid w:val="00E02E60"/>
    <w:rsid w:val="00E434EA"/>
    <w:rsid w:val="00E43C33"/>
    <w:rsid w:val="00E55660"/>
    <w:rsid w:val="00E70530"/>
    <w:rsid w:val="00E94071"/>
    <w:rsid w:val="00EA0A4F"/>
    <w:rsid w:val="00EC2D83"/>
    <w:rsid w:val="00ED262E"/>
    <w:rsid w:val="00EE17B8"/>
    <w:rsid w:val="00EF7656"/>
    <w:rsid w:val="00F27CC6"/>
    <w:rsid w:val="00F304F6"/>
    <w:rsid w:val="00F41F42"/>
    <w:rsid w:val="00F9009C"/>
    <w:rsid w:val="00FB034D"/>
    <w:rsid w:val="00FC067C"/>
    <w:rsid w:val="00FD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CD990"/>
  <w15:chartTrackingRefBased/>
  <w15:docId w15:val="{A0D7CF32-05FA-42A9-B6F2-8C6246EB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5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5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EAA"/>
    <w:rPr>
      <w:rFonts w:eastAsiaTheme="majorEastAsia" w:cstheme="majorBidi"/>
      <w:color w:val="272727" w:themeColor="text1" w:themeTint="D8"/>
    </w:rPr>
  </w:style>
  <w:style w:type="paragraph" w:styleId="Title">
    <w:name w:val="Title"/>
    <w:basedOn w:val="Normal"/>
    <w:next w:val="Normal"/>
    <w:link w:val="TitleChar"/>
    <w:uiPriority w:val="10"/>
    <w:qFormat/>
    <w:rsid w:val="00115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EAA"/>
    <w:pPr>
      <w:spacing w:before="160"/>
      <w:jc w:val="center"/>
    </w:pPr>
    <w:rPr>
      <w:i/>
      <w:iCs/>
      <w:color w:val="404040" w:themeColor="text1" w:themeTint="BF"/>
    </w:rPr>
  </w:style>
  <w:style w:type="character" w:customStyle="1" w:styleId="QuoteChar">
    <w:name w:val="Quote Char"/>
    <w:basedOn w:val="DefaultParagraphFont"/>
    <w:link w:val="Quote"/>
    <w:uiPriority w:val="29"/>
    <w:rsid w:val="00115EAA"/>
    <w:rPr>
      <w:i/>
      <w:iCs/>
      <w:color w:val="404040" w:themeColor="text1" w:themeTint="BF"/>
    </w:rPr>
  </w:style>
  <w:style w:type="paragraph" w:styleId="ListParagraph">
    <w:name w:val="List Paragraph"/>
    <w:basedOn w:val="Normal"/>
    <w:uiPriority w:val="34"/>
    <w:qFormat/>
    <w:rsid w:val="00115EAA"/>
    <w:pPr>
      <w:ind w:left="720"/>
      <w:contextualSpacing/>
    </w:pPr>
  </w:style>
  <w:style w:type="character" w:styleId="IntenseEmphasis">
    <w:name w:val="Intense Emphasis"/>
    <w:basedOn w:val="DefaultParagraphFont"/>
    <w:uiPriority w:val="21"/>
    <w:qFormat/>
    <w:rsid w:val="00115EAA"/>
    <w:rPr>
      <w:i/>
      <w:iCs/>
      <w:color w:val="0F4761" w:themeColor="accent1" w:themeShade="BF"/>
    </w:rPr>
  </w:style>
  <w:style w:type="paragraph" w:styleId="IntenseQuote">
    <w:name w:val="Intense Quote"/>
    <w:basedOn w:val="Normal"/>
    <w:next w:val="Normal"/>
    <w:link w:val="IntenseQuoteChar"/>
    <w:uiPriority w:val="30"/>
    <w:qFormat/>
    <w:rsid w:val="00115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EAA"/>
    <w:rPr>
      <w:i/>
      <w:iCs/>
      <w:color w:val="0F4761" w:themeColor="accent1" w:themeShade="BF"/>
    </w:rPr>
  </w:style>
  <w:style w:type="character" w:styleId="IntenseReference">
    <w:name w:val="Intense Reference"/>
    <w:basedOn w:val="DefaultParagraphFont"/>
    <w:uiPriority w:val="32"/>
    <w:qFormat/>
    <w:rsid w:val="00115EAA"/>
    <w:rPr>
      <w:b/>
      <w:bCs/>
      <w:smallCaps/>
      <w:color w:val="0F4761" w:themeColor="accent1" w:themeShade="BF"/>
      <w:spacing w:val="5"/>
    </w:rPr>
  </w:style>
  <w:style w:type="paragraph" w:styleId="NoSpacing">
    <w:name w:val="No Spacing"/>
    <w:link w:val="NoSpacingChar"/>
    <w:uiPriority w:val="1"/>
    <w:qFormat/>
    <w:rsid w:val="00006A09"/>
    <w:pPr>
      <w:spacing w:after="0" w:line="240" w:lineRule="auto"/>
    </w:pPr>
  </w:style>
  <w:style w:type="paragraph" w:styleId="Header">
    <w:name w:val="header"/>
    <w:basedOn w:val="Normal"/>
    <w:link w:val="HeaderChar"/>
    <w:uiPriority w:val="99"/>
    <w:unhideWhenUsed/>
    <w:rsid w:val="00D31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F9B"/>
  </w:style>
  <w:style w:type="paragraph" w:styleId="Footer">
    <w:name w:val="footer"/>
    <w:basedOn w:val="Normal"/>
    <w:link w:val="FooterChar"/>
    <w:uiPriority w:val="99"/>
    <w:unhideWhenUsed/>
    <w:rsid w:val="00D31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F9B"/>
  </w:style>
  <w:style w:type="character" w:customStyle="1" w:styleId="NoSpacingChar">
    <w:name w:val="No Spacing Char"/>
    <w:basedOn w:val="DefaultParagraphFont"/>
    <w:link w:val="NoSpacing"/>
    <w:uiPriority w:val="1"/>
    <w:rsid w:val="00F41F42"/>
  </w:style>
  <w:style w:type="character" w:styleId="Hyperlink">
    <w:name w:val="Hyperlink"/>
    <w:basedOn w:val="DefaultParagraphFont"/>
    <w:uiPriority w:val="99"/>
    <w:unhideWhenUsed/>
    <w:rsid w:val="00804028"/>
    <w:rPr>
      <w:color w:val="467886" w:themeColor="hyperlink"/>
      <w:u w:val="single"/>
    </w:rPr>
  </w:style>
  <w:style w:type="character" w:styleId="UnresolvedMention">
    <w:name w:val="Unresolved Mention"/>
    <w:basedOn w:val="DefaultParagraphFont"/>
    <w:uiPriority w:val="99"/>
    <w:semiHidden/>
    <w:unhideWhenUsed/>
    <w:rsid w:val="00804028"/>
    <w:rPr>
      <w:color w:val="605E5C"/>
      <w:shd w:val="clear" w:color="auto" w:fill="E1DFDD"/>
    </w:rPr>
  </w:style>
  <w:style w:type="table" w:styleId="TableGrid">
    <w:name w:val="Table Grid"/>
    <w:basedOn w:val="TableNormal"/>
    <w:uiPriority w:val="39"/>
    <w:rsid w:val="00833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22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86585">
      <w:bodyDiv w:val="1"/>
      <w:marLeft w:val="0"/>
      <w:marRight w:val="0"/>
      <w:marTop w:val="0"/>
      <w:marBottom w:val="0"/>
      <w:divBdr>
        <w:top w:val="none" w:sz="0" w:space="0" w:color="auto"/>
        <w:left w:val="none" w:sz="0" w:space="0" w:color="auto"/>
        <w:bottom w:val="none" w:sz="0" w:space="0" w:color="auto"/>
        <w:right w:val="none" w:sz="0" w:space="0" w:color="auto"/>
      </w:divBdr>
    </w:div>
    <w:div w:id="1635595204">
      <w:bodyDiv w:val="1"/>
      <w:marLeft w:val="0"/>
      <w:marRight w:val="0"/>
      <w:marTop w:val="0"/>
      <w:marBottom w:val="0"/>
      <w:divBdr>
        <w:top w:val="none" w:sz="0" w:space="0" w:color="auto"/>
        <w:left w:val="none" w:sz="0" w:space="0" w:color="auto"/>
        <w:bottom w:val="none" w:sz="0" w:space="0" w:color="auto"/>
        <w:right w:val="none" w:sz="0" w:space="0" w:color="auto"/>
      </w:divBdr>
    </w:div>
    <w:div w:id="172402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abetes.org/resources/statistics/cost-diabet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hsph.harvard.edu" TargetMode="External"/><Relationship Id="rId4" Type="http://schemas.openxmlformats.org/officeDocument/2006/relationships/settings" Target="settings.xml"/><Relationship Id="rId9" Type="http://schemas.openxmlformats.org/officeDocument/2006/relationships/hyperlink" Target="https://www.cdc.gov/brf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2025-08-02T00:00:00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Diabetes Risk Prediction</vt:lpstr>
    </vt:vector>
  </TitlesOfParts>
  <Company>DATA 650: CAPSTONE PROJECT</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Risk Prediction</dc:title>
  <dc:subject>Alternative Modeling</dc:subject>
  <dc:creator>Kungulio, Seif H.</dc:creator>
  <cp:keywords/>
  <dc:description/>
  <cp:lastModifiedBy>Kungulio, Seif H.</cp:lastModifiedBy>
  <cp:revision>4</cp:revision>
  <cp:lastPrinted>2025-07-07T03:49:00Z</cp:lastPrinted>
  <dcterms:created xsi:type="dcterms:W3CDTF">2025-08-04T00:32:00Z</dcterms:created>
  <dcterms:modified xsi:type="dcterms:W3CDTF">2025-08-04T01:01:00Z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