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2"/>
          <w:szCs w:val="52"/>
        </w:rPr>
        <w:t xml:space="preserve">Local Enterprise-Agentic Prototyping Platform</w:t>
      </w:r>
    </w:p>
    <w:p>
      <w:pPr>
        <w:spacing w:after="120"/>
        <w:jc w:val="center"/>
      </w:pPr>
      <w:r>
        <w:rPr>
          <w:color w:val="595959"/>
          <w:sz w:val="26"/>
          <w:szCs w:val="26"/>
        </w:rPr>
        <w:t xml:space="preserve">Architecture &amp; Design — M1 MacBook (8 GB) Prototyping Lab for Azure-Targeted Agentic Solutions</w:t>
      </w:r>
    </w:p>
    <w:p>
      <w:pPr>
        <w:spacing w:after="2400"/>
        <w:jc w:val="center"/>
      </w:pPr>
      <w:r>
        <w:rPr>
          <w:color w:val="595959"/>
          <w:sz w:val="20"/>
          <w:szCs w:val="20"/>
        </w:rPr>
        <w:t xml:space="preserve">Department of Health Abu Dhabi · Enterprise Architecture · August 2026 · Draft v0.3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Purpose and Scope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describes a minimal local prototyping environment for developing enterprise agentic solutions that automate business processes. The environment reproduces, on a single M1 MacBook with 8 GB of memory, the governance shape of the target Azure platform — AI Foundry with Agent 365, Entra ID, APIM, Purview and Defender — using open-source and free-tier components, while keeping application code on the Microsoft Agent Framework so that solutions migrate to Azure without rework.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design goal is not feature parity with Azure but pattern parity: every prototype agent authenticates, egresses through a gateway, is metered, is scanned for PII, and is traced — exactly as it will be in production. The lab therefore teaches the operating model (identity, gateway policy, tool governance, observability) at zero licence cost and near-zero local resource cost.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 Overview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platform is organised into six horizontal planes inside two trust domains (local machine and cloud/SaaS), separated by an explicit egress trust boundary. All model, tool and agent-to-agent traffic converges on a single governance plane before leaving the machine.</w:t>
      </w:r>
    </w:p>
    <w:p>
      <w:pPr>
        <w:spacing w:after="120" w:before="120"/>
        <w:jc w:val="center"/>
      </w:pPr>
      <w:r>
        <w:drawing>
          <wp:inline distT="0" distB="0" distL="0" distR="0">
            <wp:extent cx="657225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Local enterprise-agentic prototyping lab (v3)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 Service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460"/>
      </w:tblGrid>
      <w:tr>
        <w:tc>
          <w:tcPr>
            <w:tcW w:type="dxa" w:w="170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Azure service</w:t>
            </w:r>
          </w:p>
        </w:tc>
        <w:tc>
          <w:tcPr>
            <w:tcW w:type="dxa" w:w="260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Local analogue</w:t>
            </w:r>
          </w:p>
        </w:tc>
        <w:tc>
          <w:tcPr>
            <w:tcW w:type="dxa" w:w="246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Foundry (models)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hosting &amp; routing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Ollama Cloud (primary), local Ollama fallback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Cloud-first inference; ~2B local model for offline only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Azure Container Apps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hosting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Python host process per workflow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Framework code unchanged on migration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APIM / AI Hub 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Gateway &amp; policy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LiteLLM Proxy (/v1, /mcp, A2A)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Virtual keys, budgets, rate limits, tool ACLs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365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registry &amp; governance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LiteLLM teams/keys + Entra app registrations + A2A agent cards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per process, key per agent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 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 ID free tenant (real)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MSAL locally; OAuth2 for MCP flows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Purview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governance &amp; audit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Presidio middleware + OTel trace audit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PII detect/redact on prompts, tool args, results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Defender for AI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Threat protection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Guardrails middleware; LLM-judge via cloud model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Prompt-injection &amp; output scanning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Foundry observability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Tracing &amp; monitoring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OpenTelemetry to Jaeger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Trace tree: workflow run, agent, tool call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APIM-fronted MCP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 governance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LiteLLM MCP Gateway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Central registry; per-key tool filtering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Runtime: Microsoft Agent Framework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Business processes are implemented as Agent Framework Workflows — typed graphs that orchestrate ChatAgents and deterministic functions with sequential, concurrent and handoff patterns, checkpointing and human-in-the-loop pauses. Each business process runs as its own lightweight Python host process (the local stand-in for one Azure Container App per process). Multiple processes run concurrently; an idle async host consumes roughly 100 MB, so capacity is bounded by cloud API rate limits rather than local memory.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— </w:t>
      </w:r>
      <w:r>
        <w:rPr>
          <w:rFonts w:ascii="Calibri" w:cs="Calibri" w:eastAsia="Calibri" w:hAnsi="Calibri"/>
          <w:sz w:val="21"/>
          <w:szCs w:val="21"/>
        </w:rPr>
        <w:t xml:space="preserve">Agent Framework ChatAgents implement the reasoning steps; the workflow graph carries process state and sequencing.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Shared services — </w:t>
      </w:r>
      <w:r>
        <w:rPr>
          <w:rFonts w:ascii="Calibri" w:cs="Calibri" w:eastAsia="Calibri" w:hAnsi="Calibri"/>
          <w:sz w:val="21"/>
          <w:szCs w:val="21"/>
        </w:rPr>
        <w:t xml:space="preserve">A shared services layer provides the workflow engine, the middleware chain (Presidio PII scanning, approval gates, OpenTelemetry emission) and the MCP and A2A client integrations.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Models — </w:t>
      </w:r>
      <w:r>
        <w:rPr>
          <w:rFonts w:ascii="Calibri" w:cs="Calibri" w:eastAsia="Calibri" w:hAnsi="Calibri"/>
          <w:sz w:val="21"/>
          <w:szCs w:val="21"/>
        </w:rPr>
        <w:t xml:space="preserve">Inference is cloud-first via Ollama Cloud through the gateway; a ~2B local model exists only as an offline fallback.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Governance Plane: LiteLLM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single LiteLLM proxy is the control plane for all three traffic classes, mirroring how every spoke in the target Azure design consumes the shared hub APIM: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LLM gateway (/v1) — </w:t>
      </w:r>
      <w:r>
        <w:rPr>
          <w:rFonts w:ascii="Calibri" w:cs="Calibri" w:eastAsia="Calibri" w:hAnsi="Calibri"/>
          <w:sz w:val="21"/>
          <w:szCs w:val="21"/>
        </w:rPr>
        <w:t xml:space="preserve">OpenAI-compatible endpoint routing to Ollama Cloud, Anthropic and local Ollama, with per-key budgets, rate limits and token accounting.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MCP gateway (/mcp) — </w:t>
      </w:r>
      <w:r>
        <w:rPr>
          <w:rFonts w:ascii="Calibri" w:cs="Calibri" w:eastAsia="Calibri" w:hAnsi="Calibri"/>
          <w:sz w:val="21"/>
          <w:szCs w:val="21"/>
        </w:rPr>
        <w:t xml:space="preserve">Central registry of MCP servers with per-key tool filtering and upstream credential injection; agents connect to one endpoint and never hold tool credentials.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A2A gateway — </w:t>
      </w:r>
      <w:r>
        <w:rPr>
          <w:rFonts w:ascii="Calibri" w:cs="Calibri" w:eastAsia="Calibri" w:hAnsi="Calibri"/>
          <w:sz w:val="21"/>
          <w:szCs w:val="21"/>
        </w:rPr>
        <w:t xml:space="preserve">Inter-workflow agent-to-agent calls are also routed through LiteLLM rather than point-to-point, so cross-process traffic is authenticated, authorised and metered like any other call.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Registry — </w:t>
      </w:r>
      <w:r>
        <w:rPr>
          <w:rFonts w:ascii="Calibri" w:cs="Calibri" w:eastAsia="Calibri" w:hAnsi="Calibri"/>
          <w:sz w:val="21"/>
          <w:szCs w:val="21"/>
        </w:rPr>
        <w:t xml:space="preserve">One LiteLLM team per business process and one virtual key per agent give per-process rollups of spend, tokens and tool usage — the local equivalent of the Agent 365 management view. Each key pairs one-to-one with an Entra app registration and an A2A agent card.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Tool Plane: MCP Servers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All shared tools are MCP servers over streamable HTTP registered with the gateway. Stdio servers are permitted only as local-only development sandboxes and are drawn explicitly as bypassing governance — a pattern that must not migrate.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 ADOIT EA Integration (own-built MCP server)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lab starts against ADOIT:Community Edition, whose built-in MCP services and admin configuration are not available; the integration is therefore an own-built MCP server wrapping the ADOIT REST API. The existing internal Python ArchiMate library (61 element types, role-based architect agents) forms the domain layer; FastMCP exposes typed create/read/update tools; validation runs against the library before any repository write; and the middleware approval gate covers all write operations. Read/query tools may be shared across processes, while write tools are ACL-restricted to a dedicated EA Modeling Agent. If access to a full ADOIT 18 tenant is obtained later (trial or DOH licence), the built-in ADOIT MCP server can be registered alongside for read/query while writes remain on the own-built server.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Identity, Data Protection and Security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Identity (Entra analogue) — </w:t>
      </w:r>
      <w:r>
        <w:rPr>
          <w:rFonts w:ascii="Calibri" w:cs="Calibri" w:eastAsia="Calibri" w:hAnsi="Calibri"/>
          <w:sz w:val="21"/>
          <w:szCs w:val="21"/>
        </w:rPr>
        <w:t xml:space="preserve">A real Entra ID free tenant provides identity: one app registration per agent, MSAL locally, OAuth 2.0 for MCP authorisation flows via the gateway. No local IdP is run.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protection (Purview analogue) — </w:t>
      </w:r>
      <w:r>
        <w:rPr>
          <w:rFonts w:ascii="Calibri" w:cs="Calibri" w:eastAsia="Calibri" w:hAnsi="Calibri"/>
          <w:sz w:val="21"/>
          <w:szCs w:val="21"/>
        </w:rPr>
        <w:t xml:space="preserve">Microsoft Presidio runs as in-process middleware, detecting and redacting PII in prompts, tool arguments and tool results before egress; the trust-boundary rule is that no unredacted PII crosses to cloud backends.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(Defender analogue) — </w:t>
      </w:r>
      <w:r>
        <w:rPr>
          <w:rFonts w:ascii="Calibri" w:cs="Calibri" w:eastAsia="Calibri" w:hAnsi="Calibri"/>
          <w:sz w:val="21"/>
          <w:szCs w:val="21"/>
        </w:rPr>
        <w:t xml:space="preserve">Guardrails middleware covers prompt-injection and output scanning; heavier checks are delegated to a cloud LLM-judge to preserve memory. Destructive tools require human approval via the workflow engine.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Observability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Agent Framework emits OpenTelemetry natively. Every workflow run produces a trace tree — workflow run, agent invocations, model and tool calls — exported over OTLP to Jaeger together with gateway spans, so a single run is followable end to end from test client to model backend. Each workflow host sets a distinct service name (e.g. process-1-intake), allowing concurrent business processes to be filtered, compared and audited independently. The trace store doubles as the audit trail; Arize Phoenix is the identified drop-in upgrade if LLM-native evaluation views become necessary.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Resource Budget (8 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Approx. RAM</w:t>
            </w:r>
          </w:p>
        </w:tc>
        <w:tc>
          <w:tcPr>
            <w:tcW w:type="dxa" w:w="3960"/>
            <w:shd w:fill="D7E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macOS baseline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~3.0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+ system services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LiteLLM proxy (pip, native)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~0.3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 + MCP + A2A gateway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Jaeger all-in-one (Colima 2 GB VM)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~0.3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OTLP collector + UI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Presidio (spaCy small)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~0.2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Loaded in middleware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Workflow hosts (3–4 processes)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~0.4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~100 MB per async Python host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MCP servers (on demand)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~0.2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FastMCP processes, incl. ADOIT server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Headroom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~2.5–3 GB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Code, browser, optional local model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budget holds only under the cloud-first inference rule; loading a 7B-class model locally is out of scope for this machine.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Migration Path to Azure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Because the lab enforces the production patterns, migration is mechanical: workflow hosts move to Azure Container Apps with managed identities replacing local keys; LiteLLM policies translate to APIM (including APIM-fronted MCP); the Entra tenant is replaced by the corporate tenant; Presidio and guardrails middleware carry over unchanged; and OTLP export is repointed from Jaeger to Foundry observability / Application Insights. Agent code, workflow graphs, MCP tool contracts and A2A cards are unchanged.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Next Steps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— </w:t>
      </w:r>
      <w:r>
        <w:rPr>
          <w:rFonts w:ascii="Calibri" w:cs="Calibri" w:eastAsia="Calibri" w:hAnsi="Calibri"/>
          <w:sz w:val="21"/>
          <w:szCs w:val="21"/>
        </w:rPr>
        <w:t xml:space="preserve">Scaffold the repository: Colima + Jaeger compose file, LiteLLM config (models, MCP registry, teams/keys), first workflow host with middleware chain wired.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— </w:t>
      </w:r>
      <w:r>
        <w:rPr>
          <w:rFonts w:ascii="Calibri" w:cs="Calibri" w:eastAsia="Calibri" w:hAnsi="Calibri"/>
          <w:sz w:val="21"/>
          <w:szCs w:val="21"/>
        </w:rPr>
        <w:t xml:space="preserve">Build the ADOIT MCP server on the existing ArchiMate library and register it with the gateway; validate create/update round-trips against ADOIT:CE.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— </w:t>
      </w:r>
      <w:r>
        <w:rPr>
          <w:rFonts w:ascii="Calibri" w:cs="Calibri" w:eastAsia="Calibri" w:hAnsi="Calibri"/>
          <w:sz w:val="21"/>
          <w:szCs w:val="21"/>
        </w:rPr>
        <w:t xml:space="preserve">Implement two pilot business processes end to end and demonstrate concurrent runs with per-process traces and spend rollups.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— </w:t>
      </w:r>
      <w:r>
        <w:rPr>
          <w:rFonts w:ascii="Calibri" w:cs="Calibri" w:eastAsia="Calibri" w:hAnsi="Calibri"/>
          <w:sz w:val="21"/>
          <w:szCs w:val="21"/>
        </w:rPr>
        <w:t xml:space="preserve">Approach BOC for a full-edition test tenant to evaluate the built-in ADOIT MCP server alongside the own-built one.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f0aa938b56aaef31e6c05bc75eab6da366410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2026-08-30T13:24:33.877Z</dcterms:created>
  <dcterms:modified xsi:type="dcterms:W3CDTF">2026-08-30T13:24:33.917Z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