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AXI2AXI DMA Hardware Datasheet</w:t>
      </w:r>
    </w:p>
    <w:p>
      <w:r>
        <w:t>Version v0.1 Draft  English edition</w:t>
      </w:r>
    </w:p>
    <w:p>
      <w:r>
        <w:t>This document is based primarily on the existing AXI2AXI_DMA_Specification_v0.2, cross-checked against architecture v0.2 and current RTL for hardware integration or software development. It preserves APB3, 32-bit addresses, existing register offsets, and status codes. Previously discussed interface proposals are not introduced.</w:t>
      </w:r>
    </w:p>
    <w:tbl>
      <w:tblPr>
        <w:tblW w:type="auto" w:w="0"/>
        <w:tblLayout w:type="fixed"/>
        <w:tblLook w:firstColumn="1" w:firstRow="1" w:lastColumn="0" w:lastRow="0" w:noHBand="0" w:noVBand="1" w:val="04A0"/>
      </w:tblPr>
      <w:tblGrid>
        <w:gridCol w:w="5112"/>
        <w:gridCol w:w="5112"/>
      </w:tblGrid>
      <w:tr>
        <w:trPr>
          <w:cantSplit/>
          <w:tblHeader/>
        </w:trPr>
        <w:tc>
          <w:tcPr>
            <w:tcW w:type="dxa" w:w="230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Document information</w:t>
            </w:r>
          </w:p>
        </w:tc>
        <w:tc>
          <w:tcPr>
            <w:tcW w:type="dxa" w:w="77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Value</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Date</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2026-10-05</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Inspected baseline</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62afb73f64ca</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Repository</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shlee123/axi_dma_ctrl</w:t>
            </w:r>
          </w:p>
        </w:tc>
      </w:tr>
      <w:tr>
        <w:trPr>
          <w:cantSplit/>
        </w:trPr>
        <w:tc>
          <w:tcPr>
            <w:tcW w:type="dxa" w:w="230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Companion</w:t>
            </w:r>
          </w:p>
        </w:tc>
        <w:tc>
          <w:tcPr>
            <w:tcW w:type="dxa" w:w="77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Software Programming Guide v0.1</w:t>
            </w:r>
          </w:p>
        </w:tc>
      </w:tr>
    </w:tbl>
    <w:p>
      <w:pPr>
        <w:spacing w:after="0"/>
      </w:pPr>
    </w:p>
    <w:p>
      <w:r>
        <w:t>Document scope: the Datasheet describes hardware capabilities and integration requirements; the Software Programming Guide explains register programming and recovery. Platform hooks in examples require system-specific implementations and do not imply additional hardware features.</w:t>
      </w:r>
    </w:p>
    <w:p>
      <w:r>
        <w:br w:type="page"/>
      </w:r>
    </w:p>
    <w:p>
      <w:pPr>
        <w:pStyle w:val="Heading1"/>
      </w:pPr>
      <w:r>
        <w:t>1 Features and architecture</w:t>
      </w:r>
    </w:p>
    <w:p>
      <w:r>
        <w:t>The DMA reads data through the AR/R channels of a source AXI4 read-only master and writes it in order through the AW/W/B channels of a target AXI4 write-only master. Software uses APB3 to program both 32-bit byte addresses and one transfer of 1–4096 bytes. Source and target independently select Single or INCR Burst mode. (Specification items 1, 2, 4, 6.)</w:t>
      </w:r>
    </w:p>
    <w:tbl>
      <w:tblPr>
        <w:tblW w:type="auto" w:w="0"/>
        <w:tblLayout w:type="fixed"/>
        <w:tblLook w:firstColumn="1" w:firstRow="1" w:lastColumn="0" w:lastRow="0" w:noHBand="0" w:noVBand="1" w:val="04A0"/>
      </w:tblPr>
      <w:tblGrid>
        <w:gridCol w:w="5112"/>
        <w:gridCol w:w="5112"/>
      </w:tblGrid>
      <w:tr>
        <w:trPr>
          <w:cantSplit/>
          <w:tblHeader/>
        </w:trPr>
        <w:tc>
          <w:tcPr>
            <w:tcW w:type="dxa" w:w="47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Path</w:t>
            </w:r>
          </w:p>
        </w:tc>
        <w:tc>
          <w:tcPr>
            <w:tcW w:type="dxa" w:w="532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Responsibility</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APB3 → dma_apb_regs</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Configuration, START, status, IRQ</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dma_apb_regs ↔ dma_cdc ↔ dma_ctrl</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Coherent command snapshots and event crossing</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AR/R → dma_read_engine → FIFO</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Receive a complete burst and commit after validation</w:t>
            </w:r>
          </w:p>
        </w:tc>
      </w:tr>
      <w:tr>
        <w:trPr>
          <w:cantSplit/>
        </w:trPr>
        <w:tc>
          <w:tcPr>
            <w:tcW w:type="dxa" w:w="47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FIFO → dma_write_engine → Target AW/W/B</w:t>
            </w:r>
          </w:p>
        </w:tc>
        <w:tc>
          <w:tcPr>
            <w:tcW w:type="dxa" w:w="532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Reserve payload before writing, then wait for B response</w:t>
            </w:r>
          </w:p>
        </w:tc>
      </w:tr>
    </w:tbl>
    <w:p>
      <w:pPr>
        <w:spacing w:after="0"/>
      </w:pPr>
    </w:p>
    <w:p>
      <w:r>
        <w:t>Control uses PCLK. Both AXI interfaces and the synchronous data FIFO share AXI_CLK; PCLK and AXI_CLK may be asynchronous. Each side has at most one outstanding transaction, while one read and one write may coexist. No descriptor, scatter gather, command queue, software Abort, or cache coherence mechanism is defined. (Specification items 3, 4, 11, 16; existing register map.)</w:t>
      </w:r>
    </w:p>
    <w:tbl>
      <w:tblPr>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9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Offset</w:t>
            </w:r>
          </w:p>
        </w:tc>
        <w:tc>
          <w:tcPr>
            <w:tcW w:type="dxa" w:w="237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Register</w:t>
            </w:r>
          </w:p>
        </w:tc>
        <w:tc>
          <w:tcPr>
            <w:tcW w:type="dxa" w:w="165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Access</w:t>
            </w:r>
          </w:p>
        </w:tc>
        <w:tc>
          <w:tcPr>
            <w:tcW w:type="dxa" w:w="511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Purpose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DMA_SRC_ADDR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source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0x004</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DMA_TARGET_ADDR</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target byte address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0x008</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DMA_LENGTH</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R/W</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Length minus one and Single modes</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0x00C</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Read/write views</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START BUSY STATUS_CODE</w:t>
            </w:r>
          </w:p>
        </w:tc>
      </w:tr>
      <w:tr>
        <w:trPr>
          <w:cantSplit/>
        </w:trPr>
        <w:tc>
          <w:tcPr>
            <w:tcW w:type="dxa" w:w="9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0x010</w:t>
            </w:r>
          </w:p>
        </w:tc>
        <w:tc>
          <w:tcPr>
            <w:tcW w:type="dxa" w:w="237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INTR_CTRL</w:t>
            </w:r>
          </w:p>
        </w:tc>
        <w:tc>
          <w:tcPr>
            <w:tcW w:type="dxa" w:w="165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 / W1C</w:t>
            </w:r>
          </w:p>
        </w:tc>
        <w:tc>
          <w:tcPr>
            <w:tcW w:type="dxa" w:w="511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IRQ pending and clear</w:t>
            </w:r>
          </w:p>
        </w:tc>
      </w:tr>
    </w:tbl>
    <w:p>
      <w:pPr>
        <w:spacing w:after="0"/>
      </w:pPr>
    </w:p>
    <w:p>
      <w:r>
        <w:br w:type="page"/>
      </w:r>
    </w:p>
    <w:p>
      <w:pPr>
        <w:pStyle w:val="Heading1"/>
      </w:pPr>
      <w:r>
        <w:t>2 External interfaces clocks and reset</w:t>
      </w:r>
    </w:p>
    <w:tbl>
      <w:tblPr>
        <w:tblW w:type="auto" w:w="0"/>
        <w:tblLayout w:type="fixed"/>
        <w:tblLook w:firstColumn="1" w:firstRow="1" w:lastColumn="0" w:lastRow="0" w:noHBand="0" w:noVBand="1" w:val="04A0"/>
      </w:tblPr>
      <w:tblGrid>
        <w:gridCol w:w="5112"/>
        <w:gridCol w:w="5112"/>
      </w:tblGrid>
      <w:tr>
        <w:trPr>
          <w:cantSplit/>
          <w:tblHeader/>
        </w:trPr>
        <w:tc>
          <w:tcPr>
            <w:tcW w:type="dxa" w:w="187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Interface</w:t>
            </w:r>
          </w:p>
        </w:tc>
        <w:tc>
          <w:tcPr>
            <w:tcW w:type="dxa" w:w="820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Ports or signal groups</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Clock / reset</w:t>
            </w:r>
          </w:p>
        </w:tc>
        <w:tc>
          <w:tcPr>
            <w:tcW w:type="dxa" w:w="82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pclk, axi_clk, reset_n</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APB3</w:t>
            </w:r>
          </w:p>
        </w:tc>
        <w:tc>
          <w:tcPr>
            <w:tcW w:type="dxa" w:w="82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psel, penable, pwrite, paddr, pwdata, prdata, pready, pslverr</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read</w:t>
            </w:r>
          </w:p>
        </w:tc>
        <w:tc>
          <w:tcPr>
            <w:tcW w:type="dxa" w:w="82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m_src_ar{id,addr,len,size,burst,prot,cache,lock,qos,region,valid,ready}; m_src_r{id,data,resp,last,valid,ready}</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write</w:t>
            </w:r>
          </w:p>
        </w:tc>
        <w:tc>
          <w:tcPr>
            <w:tcW w:type="dxa" w:w="82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m_dst_aw{id,addr,len,size,burst,prot,cache,lock,qos,region,valid,ready}; m_dst_w{data,strb,last,valid,ready}; m_dst_b{id,resp,valid,ready}</w:t>
            </w:r>
          </w:p>
        </w:tc>
      </w:tr>
      <w:tr>
        <w:trPr>
          <w:cantSplit/>
        </w:trPr>
        <w:tc>
          <w:tcPr>
            <w:tcW w:type="dxa" w:w="18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IRQ</w:t>
            </w:r>
          </w:p>
        </w:tc>
        <w:tc>
          <w:tcPr>
            <w:tcW w:type="dxa" w:w="820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dma_irq</w:t>
            </w:r>
          </w:p>
        </w:tc>
      </w:tr>
    </w:tbl>
    <w:p>
      <w:pPr>
        <w:spacing w:after="0"/>
      </w:pPr>
    </w:p>
    <w:p>
      <w:r>
        <w:t>Braces indicate ports sharing a prefix. APB data is fixed at 32 bits and address width defaults to 12 bits. PREADY is always 1 with no wait states. An access completes on PSEL &amp;&amp; PENABLE &amp;&amp; PREADY. Unknown or non-4-byte-aligned offsets return PSLVERR; invalid reads return zero and invalid writes have no side effects. Reserved bits read zero and ignore writes. (Item 5.)</w:t>
      </w:r>
    </w:p>
    <w:p>
      <w:r>
        <w:t>AXI handshakes use VALID &amp;&amp; READY. Source/target address is 32 bits, LEN 8 bits, SIZE 3 bits, RESP 2 bits, and WSTRB is AXI_DATA_WIDTH/8 bits. AxID is AXI_ID_VALUE; PROT/CACHE are parameters, LOCK/QOS/REGION are zero, and USER and exclusive accesses are not provided. (Items 4, 24.)</w:t>
      </w:r>
    </w:p>
    <w:p>
      <w:r>
        <w:t>reset_n is the shared external asynchronous reset, asserted asynchronously and deasserted synchronously in each domain. Configuration, status, IRQ, FIFO, and CDC state reset to zero. A zero length register encodes one byte, but reset does not start the DMA. Reset recovery from a permanent stall requires slave/interconnect coordination. (Items 6, 12.)</w:t>
      </w:r>
    </w:p>
    <w:p>
      <w:r>
        <w:br w:type="page"/>
      </w:r>
    </w:p>
    <w:p>
      <w:pPr>
        <w:pStyle w:val="Heading1"/>
      </w:pPr>
      <w:r>
        <w:t>3 Transfers and burst rules</w:t>
      </w:r>
    </w:p>
    <w:p>
      <w:r>
        <w:t>B=AXI_DATA_WIDTH/8. Both addresses must align to B; length need not be a multiple of B. Hardware independently handles each side’s 4KB boundary, and source and target bursts need not correspond one-to-one. (Items 7, 8, 17.)</w:t>
      </w:r>
    </w:p>
    <w:p>
      <w:pPr>
        <w:spacing w:after="0" w:line="240" w:lineRule="auto"/>
      </w:pPr>
      <w:r>
        <w:rPr>
          <w:rFonts w:ascii="DejaVu Sans Mono" w:hAnsi="DejaVu Sans Mono"/>
          <w:sz w:val="16"/>
        </w:rPr>
        <w:t>remaining_beats = ceil(remaining_bytes / B)</w:t>
      </w:r>
    </w:p>
    <w:p>
      <w:pPr>
        <w:spacing w:after="0" w:line="240" w:lineRule="auto"/>
      </w:pPr>
      <w:r>
        <w:rPr>
          <w:rFonts w:ascii="DejaVu Sans Mono" w:hAnsi="DejaVu Sans Mono"/>
          <w:sz w:val="16"/>
        </w:rPr>
        <w:t>page_beats = (4096 - (address % 4096)) / B</w:t>
      </w:r>
    </w:p>
    <w:p>
      <w:pPr>
        <w:spacing w:after="0" w:line="240" w:lineRule="auto"/>
      </w:pPr>
      <w:r>
        <w:rPr>
          <w:rFonts w:ascii="DejaVu Sans Mono" w:hAnsi="DejaVu Sans Mono"/>
          <w:sz w:val="16"/>
        </w:rPr>
        <w:t>read_beats = min(MAX_BURST_LENGTH, remaining_beats,</w:t>
      </w:r>
    </w:p>
    <w:p>
      <w:pPr>
        <w:spacing w:after="0" w:line="240" w:lineRule="auto"/>
      </w:pPr>
      <w:r>
        <w:rPr>
          <w:rFonts w:ascii="DejaVu Sans Mono" w:hAnsi="DejaVu Sans Mono"/>
          <w:sz w:val="16"/>
        </w:rPr>
        <w:t xml:space="preserve">                 page_beats, available_FIFO_space)</w:t>
      </w:r>
    </w:p>
    <w:p>
      <w:pPr>
        <w:spacing w:after="0" w:line="240" w:lineRule="auto"/>
      </w:pPr>
      <w:r>
        <w:rPr>
          <w:rFonts w:ascii="DejaVu Sans Mono" w:hAnsi="DejaVu Sans Mono"/>
          <w:sz w:val="16"/>
        </w:rPr>
        <w:t>write_beats = min(MAX_BURST_LENGTH, remaining_beats,</w:t>
      </w:r>
    </w:p>
    <w:p>
      <w:pPr>
        <w:spacing w:after="0" w:line="240" w:lineRule="auto"/>
      </w:pPr>
      <w:r>
        <w:rPr>
          <w:rFonts w:ascii="DejaVu Sans Mono" w:hAnsi="DejaVu Sans Mono"/>
          <w:sz w:val="16"/>
        </w:rPr>
        <w:t xml:space="preserve">                  page_beats, verified_FIFO_data)</w:t>
      </w:r>
    </w:p>
    <w:p>
      <w:pPr>
        <w:spacing w:after="0" w:line="240" w:lineRule="auto"/>
      </w:pPr>
      <w:r>
        <w:rPr>
          <w:rFonts w:ascii="DejaVu Sans Mono" w:hAnsi="DejaVu Sans Mono"/>
          <w:sz w:val="16"/>
        </w:rPr>
        <w:t>AxLEN = burst_beats - 1; AxSIZE = log2(B); AxBURST = INCR</w:t>
      </w:r>
    </w:p>
    <w:p>
      <w:r>
        <w:t>Single mode sets burst_beats=1 and AxLEN=0 without changing AxSIZE. FIFO space accounts for committed read bursts. Payload and length remain stable after VALID assertion. For a final k-byte partial beat, only the lowest k WSTRB bits are enabled. (Items 6, 7, 17.)</w:t>
      </w:r>
    </w:p>
    <w:tbl>
      <w:tblPr>
        <w:tblW w:type="auto" w:w="0"/>
        <w:tblLayout w:type="fixed"/>
        <w:tblLook w:firstColumn="1" w:firstRow="1" w:lastColumn="0" w:lastRow="0" w:noHBand="0" w:noVBand="1" w:val="04A0"/>
      </w:tblPr>
      <w:tblGrid>
        <w:gridCol w:w="5112"/>
        <w:gridCol w:w="5112"/>
      </w:tblGrid>
      <w:tr>
        <w:trPr>
          <w:cantSplit/>
          <w:tblHeader/>
        </w:trPr>
        <w:tc>
          <w:tcPr>
            <w:tcW w:type="dxa" w:w="439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Configuration</w:t>
            </w:r>
          </w:p>
        </w:tc>
        <w:tc>
          <w:tcPr>
            <w:tcW w:type="dxa" w:w="5688"/>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Behavior</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data, 10 bytes</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WSTRB: 1111, 1111, 0011</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data, src=0x1FFC, 12 bytes</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splits into 1 beat and 2 beats at 0x2000</w:t>
            </w:r>
          </w:p>
        </w:tc>
      </w:tr>
      <w:tr>
        <w:trPr>
          <w:cantSplit/>
        </w:trPr>
        <w:tc>
          <w:tcPr>
            <w:tcW w:type="dxa" w:w="43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32-bit data, src=0x1000, 1 byte</w:t>
            </w:r>
          </w:p>
        </w:tc>
        <w:tc>
          <w:tcPr>
            <w:tcW w:type="dxa" w:w="5688"/>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reads 0x1000–0x1003; target writes one byte</w:t>
            </w:r>
          </w:p>
        </w:tc>
      </w:tr>
    </w:tbl>
    <w:p>
      <w:pPr>
        <w:spacing w:after="0"/>
      </w:pPr>
    </w:p>
    <w:p>
      <w:r>
        <w:t>Source reads are never narrow. Software must validate access to the full final beat and peripheral read side effects. Address arithmetic wraps modulo 2^32. Overflow and overlap do not produce CONFIG_ERROR, and memmove behavior is not guaranteed. (Items 8, 21.)</w:t>
      </w:r>
    </w:p>
    <w:p>
      <w:r>
        <w:br w:type="page"/>
      </w:r>
    </w:p>
    <w:p>
      <w:pPr>
        <w:pStyle w:val="Heading1"/>
      </w:pPr>
      <w:r>
        <w:t>4 Data protection and completion</w:t>
      </w:r>
    </w:p>
    <w:p>
      <w:r>
        <w:t>The FIFO tracks unverified, verified, reserved, and free data. Data becomes verified only after every beat of the source burst returns OKAY and RLAST is correct. Before AWVALID, the target reserves a complete verified payload, which may combine the prefix of multiple successful source bursts. (Items 4.i, 17, 22.)</w:t>
      </w:r>
    </w:p>
    <w:p>
      <w:r>
        <w:t>After a source error or timeout, the failed burst cannot become verified. Stop new target transactions and discard uncommitted data. Payload for an asserted AWVALID must be retained even before AW handshake; all W beats and the B response must complete. FIFO storage may be released after the final W handshake, while the write engine still tracks BRESP. (Items 20, 22; architecture v0.2 section 2.)</w:t>
      </w:r>
    </w:p>
    <w:p>
      <w:pPr>
        <w:pStyle w:val="Heading2"/>
      </w:pPr>
      <w:r>
        <w:t>START and completion</w:t>
      </w:r>
    </w:p>
    <w:p>
      <w:r>
        <w:t>Accepted START clears prior status/IRQ, snapshots configuration, and transfers it across domains for validation. Misaligned addresses issue no AXI, keep BUSY=0, and produce CONFIG_ERROR plus IRQ. APB configuration writes during execution affect only the next snapshot. Ignored START does not change the prior result. (Items 11, 18.)</w:t>
      </w:r>
    </w:p>
    <w:p>
      <w:r>
        <w:t>Successful completion requires the final matching-ID OKAY B response and no outstanding or pending VALID obligation. BUSY=0 alone is not a completion event; synchronization delay may leave it zero after START. Software must wait for this command’s IRQ pending/event. (Items 15, 25.)</w:t>
      </w:r>
    </w:p>
    <w:p>
      <w:r>
        <w:br w:type="page"/>
      </w:r>
    </w:p>
    <w:p>
      <w:pPr>
        <w:pStyle w:val="Heading1"/>
      </w:pPr>
      <w:r>
        <w:t>5 Errors interrupts and recovery</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79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Code</w:t>
            </w:r>
          </w:p>
        </w:tc>
        <w:tc>
          <w:tcPr>
            <w:tcW w:type="dxa" w:w="295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Name</w:t>
            </w:r>
          </w:p>
        </w:tc>
        <w:tc>
          <w:tcPr>
            <w:tcW w:type="dxa" w:w="633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Meaning and action</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0x0</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NO_ERROR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No error; a completion event for this command is required for success</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0x8</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RRESP other than OKAY; wait for obligation recovery</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0x9</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DST_RESP_ERROR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BRESP other than OKAY; target may be partly updated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0xA</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0xB</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DST_TIMEOUT</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wait without progress; transaction is not cancelled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0xC</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CONFIG_ERROR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Misaligned address; no AXI transaction issued</w:t>
            </w:r>
          </w:p>
        </w:tc>
      </w:tr>
      <w:tr>
        <w:trPr>
          <w:cantSplit/>
        </w:trPr>
        <w:tc>
          <w:tcPr>
            <w:tcW w:type="dxa" w:w="79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0xD</w:t>
            </w:r>
          </w:p>
        </w:tc>
        <w:tc>
          <w:tcPr>
            <w:tcW w:type="dxa" w:w="295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SRC_PROTOCOL_ERROR</w:t>
            </w:r>
          </w:p>
        </w:tc>
        <w:tc>
          <w:tcPr>
            <w:tcW w:type="dxa" w:w="633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Incorrect RLAST; coordinated reset required</w:t>
            </w:r>
          </w:p>
        </w:tc>
      </w:tr>
    </w:tbl>
    <w:p>
      <w:pPr>
        <w:spacing w:after="0"/>
      </w:pPr>
    </w:p>
    <w:p>
      <w:r>
        <w:t>Only OKAY responses succeed. First-error-wins; simultaneous first errors prefer source, and same-side priority is protocol &gt; response &gt; timeout. A later protocol fault still locks BUSY until reset even if it does not replace an earlier status code. (Items 10, 23.)</w:t>
      </w:r>
    </w:p>
    <w:p>
      <w:r>
        <w:t>IRQ is a level pending signal in PCLK with no per-source mask. INTR_CTRL[0] W1C or accepted START clears it; a simultaneous new event wins. An error IRQ may precede recovery completion while BUSY is still 1; recovery produces no additional success IRQ. (Item 9.)</w:t>
      </w:r>
    </w:p>
    <w:p>
      <w:r>
        <w:t>Timeout does not withdraw VALID or cancel accepted transactions. A mismatched RID/BID forces READY=0 and the response is not processed. Waiting may time out, but the mismatched response must still not be accepted. Permanent stalls and protocol faults can require coordinated reset; target writes are not rolled back. (Items 20, 23, 24.)</w:t>
      </w:r>
    </w:p>
    <w:p>
      <w:r>
        <w:br w:type="page"/>
      </w:r>
    </w:p>
    <w:p>
      <w:pPr>
        <w:pStyle w:val="Heading1"/>
      </w:pPr>
      <w:r>
        <w:t>6 Timeout parameters performance and revision</w:t>
      </w:r>
    </w:p>
    <w:tbl>
      <w:tblPr>
        <w:tblW w:type="auto" w:w="0"/>
        <w:tblLayout w:type="fixed"/>
        <w:tblLook w:firstColumn="1" w:firstRow="1" w:lastColumn="0" w:lastRow="0" w:noHBand="0" w:noVBand="1" w:val="04A0"/>
      </w:tblPr>
      <w:tblGrid>
        <w:gridCol w:w="5112"/>
        <w:gridCol w:w="5112"/>
      </w:tblGrid>
      <w:tr>
        <w:trPr>
          <w:cantSplit/>
          <w:tblHeader/>
        </w:trPr>
        <w:tc>
          <w:tcPr>
            <w:tcW w:type="dxa" w:w="2016"/>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Wait phase</w:t>
            </w:r>
          </w:p>
        </w:tc>
        <w:tc>
          <w:tcPr>
            <w:tcW w:type="dxa" w:w="806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Counting condition</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AR</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ARVALID &amp;&amp; !ARREADY</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Source R</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Accepted read with capacity, waiting for matching RID handshake; pause on FIFO full</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AW / W</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AWVALID/WVALID waiting for READY; data preparation without WVALID is excluded</w:t>
            </w:r>
          </w:p>
        </w:tc>
      </w:tr>
      <w:tr>
        <w:trPr>
          <w:cantSplit/>
        </w:trPr>
        <w:tc>
          <w:tcPr>
            <w:tcW w:type="dxa" w:w="2016"/>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Target B</w:t>
            </w:r>
          </w:p>
        </w:tc>
        <w:tc>
          <w:tcPr>
            <w:tcW w:type="dxa" w:w="806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After final W handshake, wait for matching BID handshake</w:t>
            </w:r>
          </w:p>
        </w:tc>
      </w:tr>
    </w:tbl>
    <w:p>
      <w:pPr>
        <w:spacing w:after="0"/>
      </w:pPr>
    </w:p>
    <w:p>
      <w:r>
        <w:t>Each side counts independently. Progress handshakes and phase transitions reset counters. A handshake on the expiry cycle takes precedence, and recovery does not republish the same timeout. AXI_TIMEOUT_CYCLES=0 disables the watchdog. (Items 4.h, 20.4.)</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672"/>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Parameter</w:t>
            </w:r>
          </w:p>
        </w:tc>
        <w:tc>
          <w:tcPr>
            <w:tcW w:type="dxa" w:w="158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Default</w:t>
            </w:r>
          </w:p>
        </w:tc>
        <w:tc>
          <w:tcPr>
            <w:tcW w:type="dxa" w:w="4824"/>
            <w:shd w:fill="E7EDF3"/>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sz w:val="18"/>
              </w:rPr>
              <w:t>Legal range or purpose</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APB_ADDR_WIDTH</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12</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&gt;=5; APB data fixed 32</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AXI_ADDR_WIDTH / DATA_WIDTH</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32 / 32</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Address fixed 32; data 8–1024 power of two</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AXI_ID_WIDTH / VALUE</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6 / 0</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ID width &gt;=1; constant ID</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MAX_BURST_LENGTH</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8</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1–256</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DATA_FIFO_DEPTH</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8</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&gt;= MAX_BURST_LENGTH</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AXI_TIMEOUT_CYCLES</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1024</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&gt;=0; 0 disables</w:t>
            </w:r>
          </w:p>
        </w:tc>
      </w:tr>
      <w:tr>
        <w:trPr>
          <w:cantSplit/>
        </w:trPr>
        <w:tc>
          <w:tcPr>
            <w:tcW w:type="dxa" w:w="3672"/>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AXI_PROT_VALUE / CACHE_VALUE</w:t>
            </w:r>
          </w:p>
        </w:tc>
        <w:tc>
          <w:tcPr>
            <w:tcW w:type="dxa" w:w="158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0 / 0</w:t>
            </w:r>
          </w:p>
        </w:tc>
        <w:tc>
          <w:tcPr>
            <w:tcW w:type="dxa" w:w="4824"/>
            <w:shd w:fill="FFFFFF"/>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b w:val="0"/>
                <w:sz w:val="18"/>
              </w:rPr>
              <w:t>3-bit PROT; 4-bit CACHE</w:t>
            </w:r>
          </w:p>
        </w:tc>
      </w:tr>
    </w:tbl>
    <w:p>
      <w:pPr>
        <w:spacing w:after="0"/>
      </w:pPr>
    </w:p>
    <w:p>
      <w:r>
        <w:t>The theoretical per-side bandwidth is f_AXI×AXI_DATA_WIDTH/8 bytes/s. At 100 MHz and 32 bits the limit is 400 MB/s, not a measured guarantee. FIFO, qualification, bursts, responses, and backpressure reduce throughput. IDLE channel shutdown and FPGA clock enables or legal ASIC gating follow items 14 and 19.</w:t>
      </w:r>
    </w:p>
    <w:p>
      <w:pPr>
        <w:pStyle w:val="Heading2"/>
      </w:pPr>
      <w:r>
        <w:t>Document sources</w:t>
      </w:r>
    </w:p>
    <w:p>
      <w:r>
        <w:t>doc/specification/AXI2AXI_DMA_Specification_v0.2.txt</w:t>
        <w:br/>
        <w:t>doc/architecture/AXI2AXI_DMA_Architecture_v0.2.md</w:t>
        <w:br/>
        <w:t>doc/architecture/register_map/AXI2AXI_DMA_Register_Map_v0.1.md</w:t>
        <w:br/>
        <w:t>rtl/axi_dma_ctrl.v; rtl/dma_apb_regs.v</w:t>
      </w:r>
    </w:p>
    <w:p>
      <w:r>
        <w:t>The specification is the primary authority for functionality and the software contract. The inspected main commit is 62afb73f64ca. The register map states that pending protection is not required, while dma_apb_regs.v includes a start_pending guard. Software must still serialize START as specified and must not rely on that additional guard. Adding this document does not certify all RTL functions or CI results.</w:t>
      </w:r>
    </w:p>
    <w:p>
      <w:r>
        <w:t>v0.1  2026-10-05: Chinese and English datasheets derived from the existing specification without changing the functional contract.</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2026-10-05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AXI2AXI DMA  |  Datasheet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2" w:lineRule="auto"/>
    </w:pPr>
    <w:rPr>
      <w:rFonts w:ascii="Arial" w:hAnsi="Arial" w:eastAsia="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Arial" w:hAnsi="Arial" w:eastAsia="Noto Sans CJK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Arial" w:hAnsi="Arial" w:eastAsia="Noto Sans CJK T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line="252" w:lineRule="auto"/>
      <w:outlineLvl w:val="2"/>
    </w:pPr>
    <w:rPr>
      <w:rFonts w:asciiTheme="majorHAnsi" w:eastAsiaTheme="majorEastAsia" w:hAnsiTheme="majorHAnsi" w:cstheme="majorBidi" w:ascii="Arial" w:hAnsi="Arial" w:eastAsia="Noto Sans CJK T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Arial" w:hAnsi="Arial" w:eastAsia="Noto Sans CJK T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AXI2AXI DMA Datasheet</dc:title>
  <dc:subject>Reviewed target contract and implementation gap</dc:subject>
  <dc:creator>AXI2AXI DMA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