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Institute for Sustainable Development,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LiDAR-based forest vertical structure, disturbance, and urban ecology (continuing doctoral research)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submitted (with editor)].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Remote Sensing Applications: Society and Environment.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Sep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Seminar, Department of Environmental Design,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(Remote Sensing Applications: Society and Environment, submitted);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8 registered, 3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Aug 2026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Principal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Invalab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Ecological restoration company. UAV seed-ball revegetation of disaster-affected sites; individual street-tree classification and attribute inventory (dendrometry, carbon) from urban mobile laser scanning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