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8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4"/>
        </w:rPr>
        <w:t xml:space="preserve">  (Clay Lee)</w:t>
      </w:r>
      <w:r>
        <w:rPr>
          <w:rFonts w:ascii="Cambria" w:hAnsi="Cambria" w:cs="Cambria" w:eastAsia="Cambria"/>
          <w:b w:val="0"/>
          <w:i w:val="0"/>
          <w:caps/>
          <w:color w:val="6F6F6F"/>
          <w:sz w:val="22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Ph.D., expected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444444"/>
          <w:sz w:val="21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20"/>
            <w:color w:val="444444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>+82-10-8455-5598</w:t>
      </w:r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2">
        <w:r>
          <w:rPr>
            <w:rFonts w:ascii="Cambria" w:hAnsi="Cambria" w:cs="Cambria" w:eastAsia="Cambria"/>
            <w:sz w:val="20"/>
            <w:color w:val="444444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3">
        <w:r>
          <w:rPr>
            <w:rFonts w:ascii="Cambria" w:hAnsi="Cambria" w:cs="Cambria" w:eastAsia="Cambria"/>
            <w:sz w:val="20"/>
            <w:color w:val="444444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4">
        <w:r>
          <w:rPr>
            <w:rFonts w:ascii="Cambria" w:hAnsi="Cambria" w:cs="Cambria" w:eastAsia="Cambria"/>
            <w:sz w:val="20"/>
            <w:color w:val="444444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21"/>
        </w:rPr>
        <w:t>Airborne &amp; spaceborne LiDAR (GEDI) for vertical forest structure · forest typology and stratification · biomass and carbon estimation · urban ecology, green infrastructure, and microclimate · thermal remote sensing · reproducible, code-driven geospatial science.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Education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2022.03 — Aug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2022.02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Thesis: “Feasibility of Wildlife Detection Using UAV-derived Thermal and True-color Imagery”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2011.03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2024.07 — 2024.08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Blacksburg, VA, United States · Landscape architecture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2023.12 — 2024.02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West Lafayette, IN, United States · Forest structure &amp; LiDAR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Present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National R&amp;D and municipal projects on LiDAR forest structure, carbon,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2019.08 — 2019.11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Impact Factor / quartile shown where available.  (SCI then KCI; newest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Bi-temporal ALS assessment of vertical–horizontal forest structures and their structural association in a temperate urban forest.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Forest Science and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5">
        <w:r>
          <w:rPr>
            <w:rFonts w:ascii="Cambria" w:hAnsi="Cambria" w:cs="Cambria" w:eastAsia="Cambria"/>
            <w:sz w:val="20"/>
            <w:color w:val="444444"/>
          </w:rPr>
          <w:t xml:space="preserve">https://doi.org/10.1080/21580103.2026.2712965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2.4, Q2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6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6.4,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7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7.4,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8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11.4,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9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3.4, Q1 (2025)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6.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0">
        <w:r>
          <w:rPr>
            <w:rFonts w:ascii="Cambria" w:hAnsi="Cambria" w:cs="Cambria" w:eastAsia="Cambria"/>
            <w:sz w:val="20"/>
            <w:color w:val="444444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5.0, Q1 (2022)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1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https://doi.org/10.13087/kosert.2026.29.2.21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8.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2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https://doi.org/10.13087/kosert.2026.29.2.41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9.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3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https://doi.org/10.13087/kosert.2025.28.6.95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10.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4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(5 manuscripts; first-author listed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[Manuscript under review].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Science of Remote Sensing.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2026.04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Geoscience Letters.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Global Ecology and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Books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. Urban Issue. ISBN 9791197343100.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Competitive fellowships / scholarships (amounts converted at ₩1,400 = $1).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2015 — 2017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2013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Invited Talks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SmartCity Industrial Technology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Environmental Conservation &amp; Land Management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Asia Week, Fukuoka, Japan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Remotely sensed Smartcity ecological value maps.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NEF (Neocity Empowerment Forum), Orlando, FL, US.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First author / presenter unless marked “team”.  10 domestic presentations (KOSERT, KSEE, KILA) available on request.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Uirin Ha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Heejae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Hyeyeong Choe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None, West Lafayette, IN,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Washington D.C.,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ICLEE, Kitakyushu,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Characterizing the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Long Beach, CA,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[Video, team] CES (Consumer Electronics Show), Las Vegas, NV,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Property information analysis study of Gyeonggi-do Province biotope.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[Oral, team]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Wildfire driven forest vegetation height change comparison.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impacts of fire-induced disturbances on tree height and structure: using GEDI derived variables.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Portland, OR,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 (12th),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Comparison of GEDI and aerial laser scanning dataset according to leaf-on and leaf-off seasons.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AGU Fall Meeting, Chicago, IL, US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Classification of tree species and forest floor using XGBoost algorithm with accurate forest map, airborne LiDAR data, and satellite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World Forestry Congress (15th), Seoul, Republic of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Detecting individual broad-leaved trees by trunk extraction method using leaf-off airborne LiDAR datasets.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LA, US / Online.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National R&amp;D and municipal projects (newest first).  Budget = total project funding (national R&amp;D).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Janghang National Wetland Restoration — ecosystem monitoring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2025.07 — 2025.11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Coastal-wetland multi-season Sentinel-2 monitoring (manuscript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Carbon storage/sink analysis and inventory for Gyeonggi-do by biotope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2024.06 — 2025.05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Integrated assessment tool for carbon reduction by offset and synergy with ecosystem services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2023.04 — 2027.12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Insect diversity &amp; ecological structure (Agric., Ecosyst. &amp; Environ. 2026); Rook habitat preferences (Global Ecology &amp; Conservation 2025)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Gyeonggi-do biotope property-information analysis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2022.12 — 2023.11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 layer-typology metrics (Ecological Indicators 2026); JCK 2023 presentation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Creation, restoration &amp; management technology of carbon-accumulated abandoned-paddy wetland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2022.04 — 2026.12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Non-destructive carbon storage of Salix spp. (KOSERT 2025); paddy-terrestrialization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Gwacheon-si urban ecological status mapping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2021.09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Real-time web-based positioning surveillance system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2021.04 — 2023.12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Project Manager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habitat model (manuscript under review, GEC); wildlife-tracker missing-point patent (reg. 2023) and optimal-capture-range patent (pending)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IT·ET·BT convergence-based distribution and spread models for introduced exotic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2021.04 — 2023.12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MaxEnt distribution model (manuscript under review, GEC)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Redundancy-based green-infrastructure technology for urban ecosystem challenges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2020.04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Diel activity of water deer &amp; wild boar via long-term camera-trapping (KOSERT 2024); drone thermal/RGB &amp; LiDAR wild-boar habitat datasets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Monitoring and simulation of climate conditions by spatial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2020.01 — 2020.08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LST estimation comparison — satellite / simulation / UAV (KOSERT 2026); outdoor thermal-comfort optimization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Customized habitat-management technique for urban species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2019.04 — 2022.12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Real-time UAV thermal/RGB wildlife detection (Remote Sensing 2021, first author); UAV thermal wildlife-detection patent (reg. 2022)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Assessment scheme and ecosystem-restoration model by degradation type</w:t>
      </w:r>
    </w:p>
    <w:p>
      <w:r>
        <w:rPr>
          <w:rFonts w:ascii="Cambria" w:hAnsi="Cambria" w:cs="Cambria" w:eastAsia="Cambria"/>
          <w:b/>
          <w:i w:val="0"/>
          <w:color w:val="444444"/>
          <w:sz w:val="20"/>
        </w:rPr>
        <w:t>2018.07 — 2020.12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 ·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7 registered, 4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Registered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2025.09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2025.04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2024.11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2023.07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2022.10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2022.04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Pending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 &amp; Dankook Univ.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Awards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Service &amp; Membership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and Ecological Engineering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Professional memberships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– present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2 university courses · 4 online courses (1,100+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University Courses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10224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Online Courses  (1,100+ students enrolled)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5">
        <w:r>
          <w:rPr>
            <w:rFonts w:ascii="Cambria" w:hAnsi="Cambria" w:cs="Cambria" w:eastAsia="Cambria"/>
            <w:sz w:val="20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6">
        <w:r>
          <w:rPr>
            <w:rFonts w:ascii="Cambria" w:hAnsi="Cambria" w:cs="Cambria" w:eastAsia="Cambria"/>
            <w:sz w:val="20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7">
        <w:r>
          <w:rPr>
            <w:rFonts w:ascii="Cambria" w:hAnsi="Cambria" w:cs="Cambria" w:eastAsia="Cambria"/>
            <w:sz w:val="20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8">
        <w:r>
          <w:rPr>
            <w:rFonts w:ascii="Cambria" w:hAnsi="Cambria" w:cs="Cambria" w:eastAsia="Cambria"/>
            <w:sz w:val="20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Invited Lectures &amp; Workshops  (20+ sessions, 2022 — 2026)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Incheon Urban Regeneration Center — QGIS analysis and visualization of urban-regeneration sites (baseline conditions, performance indicators, and mapping)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&amp; Wastewater Works Association (KWWA) — Water-environment engineering QGIS tool-master course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Hanyang Cyber University — QGIS spatial analysis and visualization (beginner to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Hyundai NGV — Understanding GIS &amp; spatial analysis/visualization via DBMS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Chungcheongnam-do Agricultural Research &amp; Extension Services — QGIS disease-spread visualization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2024, 2026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· SNU GSES — WISE-UP urban spatial-data analysis workshop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Gyeonggi-do HRD Institute — Data visualization for better reports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2023.09 — 2025.03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2017.03 — 2018.11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landscape and urban-planning practice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2016.09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China · landscape design practice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References</w:t>
      </w:r>
    </w:p>
    <w:p>
      <w:pPr>
        <w:spacing w:before="80"/>
      </w:pPr>
      <w:r>
        <w:rPr>
          <w:rFonts w:ascii="Cambria" w:hAnsi="Cambria" w:cs="Cambria" w:eastAsia="Cambria"/>
          <w:b w:val="0"/>
          <w:i/>
          <w:color w:val="444444"/>
          <w:sz w:val="20"/>
        </w:rPr>
        <w:t>Available upon request.</w:t>
      </w:r>
    </w:p>
    <w:p>
      <w:pPr>
        <w:spacing w:before="320"/>
      </w:pPr>
      <w:r>
        <w:drawing>
          <wp:inline xmlns:a="http://schemas.openxmlformats.org/drawingml/2006/main" xmlns:pic="http://schemas.openxmlformats.org/drawingml/2006/picture">
            <wp:extent cx="624582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582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224" w:val="right"/>
        </w:tabs>
        <w:spacing w:before="2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Date: 20 August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6F6F6F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Cambria" w:hAnsi="Cambr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80/21580103.2026.2712965" TargetMode="External"/><Relationship Id="rId16" Type="http://schemas.openxmlformats.org/officeDocument/2006/relationships/hyperlink" Target="https://doi.org/10.1016/j.agee.2025.110172" TargetMode="External"/><Relationship Id="rId17" Type="http://schemas.openxmlformats.org/officeDocument/2006/relationships/hyperlink" Target="https://doi.org/10.1016/j.ecolind.2026.114798" TargetMode="External"/><Relationship Id="rId18" Type="http://schemas.openxmlformats.org/officeDocument/2006/relationships/hyperlink" Target="https://doi.org/10.1016/j.rse.2026.115246" TargetMode="External"/><Relationship Id="rId19" Type="http://schemas.openxmlformats.org/officeDocument/2006/relationships/hyperlink" Target="https://doi.org/10.1016/j.gecco.2025.e03866" TargetMode="External"/><Relationship Id="rId20" Type="http://schemas.openxmlformats.org/officeDocument/2006/relationships/hyperlink" Target="https://doi.org/10.3390/rs13112169" TargetMode="External"/><Relationship Id="rId21" Type="http://schemas.openxmlformats.org/officeDocument/2006/relationships/hyperlink" Target="https://doi.org/10.13087/kosert.2026.29.2.21" TargetMode="External"/><Relationship Id="rId22" Type="http://schemas.openxmlformats.org/officeDocument/2006/relationships/hyperlink" Target="https://doi.org/10.13087/kosert.2026.29.2.41" TargetMode="External"/><Relationship Id="rId23" Type="http://schemas.openxmlformats.org/officeDocument/2006/relationships/hyperlink" Target="https://doi.org/10.13087/kosert.2025.28.6.95" TargetMode="External"/><Relationship Id="rId24" Type="http://schemas.openxmlformats.org/officeDocument/2006/relationships/hyperlink" Target="https://doi.org/10.13087/kosert.2024.27.2.55" TargetMode="External"/><Relationship Id="rId25" Type="http://schemas.openxmlformats.org/officeDocument/2006/relationships/hyperlink" Target="https://inf.run/Vo32x" TargetMode="External"/><Relationship Id="rId26" Type="http://schemas.openxmlformats.org/officeDocument/2006/relationships/hyperlink" Target="https://inf.run/cunhy" TargetMode="External"/><Relationship Id="rId27" Type="http://schemas.openxmlformats.org/officeDocument/2006/relationships/hyperlink" Target="https://inf.run/JcRA" TargetMode="External"/><Relationship Id="rId28" Type="http://schemas.openxmlformats.org/officeDocument/2006/relationships/hyperlink" Target="https://inf.run/RNcr" TargetMode="External"/><Relationship Id="rId2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