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Institute for Sustainable Development,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LiDAR-based forest vertical structure, disturbance,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submitted (with editor)].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Remote Sensing Applications: Society and Environment.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Sep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(Remote Sensing Applications: Society and Environment, submitted);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8 registered, 3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Aug 2026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Principal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Invalab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UAV seed-ball revegetation of disaster sites; MLS street-tree inventory and carbon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