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sz w:val="28"/>
        </w:rPr>
        <w:t>A Mini-Project Report On</w:t>
        <w:br/>
      </w:r>
    </w:p>
    <w:p>
      <w:pPr>
        <w:spacing w:before="80" w:after="240"/>
        <w:jc w:val="center"/>
      </w:pPr>
      <w:r>
        <w:rPr>
          <w:rFonts w:ascii="Times New Roman" w:hAnsi="Times New Roman"/>
          <w:b/>
          <w:color w:val="1F497D"/>
          <w:sz w:val="36"/>
        </w:rPr>
        <w:t>“EduPredict AI — Student Performance Prediction System”</w:t>
        <w:br/>
      </w:r>
    </w:p>
    <w:p>
      <w:pPr>
        <w:spacing w:before="120" w:after="160"/>
        <w:jc w:val="center"/>
      </w:pPr>
      <w:r>
        <w:rPr>
          <w:rFonts w:ascii="Times New Roman" w:hAnsi="Times New Roman"/>
          <w:sz w:val="24"/>
        </w:rPr>
        <w:t>Submitted to</w:t>
        <w:br/>
        <w:t>Savitribai Phule Pune University, Pune</w:t>
        <w:br/>
        <w:br/>
        <w:t>In partial fulfillment of the requirements for the practical coursework of</w:t>
        <w:br/>
        <w:t>AIML Laboratory (Assignment No. 12)</w:t>
        <w:br/>
        <w:t>in</w:t>
        <w:br/>
        <w:t>Third Year Information Technology (SPPU 2024 Pattern)</w:t>
        <w:br/>
      </w:r>
    </w:p>
    <w:p>
      <w:pPr>
        <w:spacing w:before="280" w:after="80"/>
        <w:jc w:val="center"/>
      </w:pPr>
      <w:r>
        <w:rPr>
          <w:rFonts w:ascii="Times New Roman" w:hAnsi="Times New Roman"/>
          <w:b/>
          <w:sz w:val="24"/>
        </w:rPr>
        <w:t>Submitted By:</w:t>
        <w:br/>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864"/>
            <w:shd w:fill="1F497D"/>
            <w:tcMar>
              <w:top w:w="120" w:type="dxa"/>
              <w:bottom w:w="120" w:type="dxa"/>
              <w:left w:w="140" w:type="dxa"/>
              <w:right w:w="140" w:type="dxa"/>
            </w:tcMar>
          </w:tcPr>
          <w:p>
            <w:pPr>
              <w:jc w:val="center"/>
            </w:pPr>
            <w:r>
              <w:rPr>
                <w:rFonts w:ascii="Times New Roman" w:hAnsi="Times New Roman"/>
                <w:b/>
                <w:color w:val="FFFFFF"/>
                <w:sz w:val="20"/>
              </w:rPr>
              <w:t>Sr. No.</w:t>
            </w:r>
          </w:p>
        </w:tc>
        <w:tc>
          <w:tcPr>
            <w:tcW w:type="dxa" w:w="3168"/>
            <w:shd w:fill="1F497D"/>
            <w:tcMar>
              <w:top w:w="120" w:type="dxa"/>
              <w:bottom w:w="120" w:type="dxa"/>
              <w:left w:w="140" w:type="dxa"/>
              <w:right w:w="140" w:type="dxa"/>
            </w:tcMar>
          </w:tcPr>
          <w:p>
            <w:pPr>
              <w:jc w:val="center"/>
            </w:pPr>
            <w:r>
              <w:rPr>
                <w:rFonts w:ascii="Times New Roman" w:hAnsi="Times New Roman"/>
                <w:b/>
                <w:color w:val="FFFFFF"/>
                <w:sz w:val="20"/>
              </w:rPr>
              <w:t>Student Full Name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Roll No.</w:t>
            </w:r>
          </w:p>
        </w:tc>
        <w:tc>
          <w:tcPr>
            <w:tcW w:type="dxa" w:w="1728"/>
            <w:shd w:fill="1F497D"/>
            <w:tcMar>
              <w:top w:w="120" w:type="dxa"/>
              <w:bottom w:w="120" w:type="dxa"/>
              <w:left w:w="140" w:type="dxa"/>
              <w:right w:w="140" w:type="dxa"/>
            </w:tcMar>
          </w:tcPr>
          <w:p>
            <w:pPr>
              <w:jc w:val="center"/>
            </w:pPr>
            <w:r>
              <w:rPr>
                <w:rFonts w:ascii="Times New Roman" w:hAnsi="Times New Roman"/>
                <w:b/>
                <w:color w:val="FFFFFF"/>
                <w:sz w:val="20"/>
              </w:rPr>
              <w:t>Exam Seat No.</w:t>
            </w:r>
          </w:p>
        </w:tc>
        <w:tc>
          <w:tcPr>
            <w:tcW w:type="dxa" w:w="2016"/>
            <w:shd w:fill="1F497D"/>
            <w:tcMar>
              <w:top w:w="120" w:type="dxa"/>
              <w:bottom w:w="120" w:type="dxa"/>
              <w:left w:w="140" w:type="dxa"/>
              <w:right w:w="140" w:type="dxa"/>
            </w:tcMar>
          </w:tcPr>
          <w:p>
            <w:pPr>
              <w:jc w:val="center"/>
            </w:pPr>
            <w:r>
              <w:rPr>
                <w:rFonts w:ascii="Times New Roman" w:hAnsi="Times New Roman"/>
                <w:b/>
                <w:color w:val="FFFFFF"/>
                <w:sz w:val="20"/>
              </w:rPr>
              <w:t>PRN Number</w:t>
            </w:r>
          </w:p>
        </w:tc>
      </w:tr>
      <w:tr>
        <w:tc>
          <w:tcPr>
            <w:tcW w:type="dxa" w:w="864"/>
            <w:shd w:fill="FFFFFF"/>
            <w:tcMar>
              <w:top w:w="80" w:type="dxa"/>
              <w:bottom w:w="80" w:type="dxa"/>
              <w:left w:w="120" w:type="dxa"/>
              <w:right w:w="120" w:type="dxa"/>
            </w:tcMar>
          </w:tcPr>
          <w:p>
            <w:pPr>
              <w:jc w:val="left"/>
            </w:pPr>
            <w:r>
              <w:rPr>
                <w:rFonts w:ascii="Times New Roman" w:hAnsi="Times New Roman"/>
                <w:color w:val="282828"/>
                <w:sz w:val="19"/>
              </w:rPr>
              <w:t>1</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Shlok S. Chaudhari</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[Roll No. ]</w:t>
            </w:r>
          </w:p>
        </w:tc>
        <w:tc>
          <w:tcPr>
            <w:tcW w:type="dxa" w:w="1728"/>
            <w:shd w:fill="FFFFFF"/>
            <w:tcMar>
              <w:top w:w="80" w:type="dxa"/>
              <w:bottom w:w="80" w:type="dxa"/>
              <w:left w:w="120" w:type="dxa"/>
              <w:right w:w="120" w:type="dxa"/>
            </w:tcMar>
          </w:tcPr>
          <w:p>
            <w:pPr>
              <w:jc w:val="center"/>
            </w:pPr>
            <w:r>
              <w:rPr>
                <w:rFonts w:ascii="Times New Roman" w:hAnsi="Times New Roman"/>
                <w:color w:val="282828"/>
                <w:sz w:val="19"/>
              </w:rPr>
              <w:t>[Seat No. ]</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[PRN No. ]</w:t>
            </w:r>
          </w:p>
        </w:tc>
      </w:tr>
      <w:tr>
        <w:tc>
          <w:tcPr>
            <w:tcW w:type="dxa" w:w="864"/>
            <w:shd w:fill="F2F5F8"/>
            <w:tcMar>
              <w:top w:w="80" w:type="dxa"/>
              <w:bottom w:w="80" w:type="dxa"/>
              <w:left w:w="120" w:type="dxa"/>
              <w:right w:w="120" w:type="dxa"/>
            </w:tcMar>
          </w:tcPr>
          <w:p>
            <w:pPr>
              <w:jc w:val="left"/>
            </w:pPr>
            <w:r>
              <w:rPr>
                <w:rFonts w:ascii="Times New Roman" w:hAnsi="Times New Roman"/>
                <w:color w:val="282828"/>
                <w:sz w:val="19"/>
              </w:rPr>
              <w:t>2</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[Student Name 2 - Optional]</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[Roll No. ]</w:t>
            </w:r>
          </w:p>
        </w:tc>
        <w:tc>
          <w:tcPr>
            <w:tcW w:type="dxa" w:w="1728"/>
            <w:shd w:fill="F2F5F8"/>
            <w:tcMar>
              <w:top w:w="80" w:type="dxa"/>
              <w:bottom w:w="80" w:type="dxa"/>
              <w:left w:w="120" w:type="dxa"/>
              <w:right w:w="120" w:type="dxa"/>
            </w:tcMar>
          </w:tcPr>
          <w:p>
            <w:pPr>
              <w:jc w:val="center"/>
            </w:pPr>
            <w:r>
              <w:rPr>
                <w:rFonts w:ascii="Times New Roman" w:hAnsi="Times New Roman"/>
                <w:color w:val="282828"/>
                <w:sz w:val="19"/>
              </w:rPr>
              <w:t>[Seat No. ]</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[PRN No. ]</w:t>
            </w:r>
          </w:p>
        </w:tc>
      </w:tr>
      <w:tr>
        <w:tc>
          <w:tcPr>
            <w:tcW w:type="dxa" w:w="864"/>
            <w:shd w:fill="FFFFFF"/>
            <w:tcMar>
              <w:top w:w="80" w:type="dxa"/>
              <w:bottom w:w="80" w:type="dxa"/>
              <w:left w:w="120" w:type="dxa"/>
              <w:right w:w="120" w:type="dxa"/>
            </w:tcMar>
          </w:tcPr>
          <w:p>
            <w:pPr>
              <w:jc w:val="left"/>
            </w:pPr>
            <w:r>
              <w:rPr>
                <w:rFonts w:ascii="Times New Roman" w:hAnsi="Times New Roman"/>
                <w:color w:val="282828"/>
                <w:sz w:val="19"/>
              </w:rPr>
              <w:t>3</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[Student Name 3 - Optional]</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[Roll No. ]</w:t>
            </w:r>
          </w:p>
        </w:tc>
        <w:tc>
          <w:tcPr>
            <w:tcW w:type="dxa" w:w="1728"/>
            <w:shd w:fill="FFFFFF"/>
            <w:tcMar>
              <w:top w:w="80" w:type="dxa"/>
              <w:bottom w:w="80" w:type="dxa"/>
              <w:left w:w="120" w:type="dxa"/>
              <w:right w:w="120" w:type="dxa"/>
            </w:tcMar>
          </w:tcPr>
          <w:p>
            <w:pPr>
              <w:jc w:val="center"/>
            </w:pPr>
            <w:r>
              <w:rPr>
                <w:rFonts w:ascii="Times New Roman" w:hAnsi="Times New Roman"/>
                <w:color w:val="282828"/>
                <w:sz w:val="19"/>
              </w:rPr>
              <w:t>[Seat No. ]</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[PRN No. ]</w:t>
            </w:r>
          </w:p>
        </w:tc>
      </w:tr>
      <w:tr>
        <w:tc>
          <w:tcPr>
            <w:tcW w:type="dxa" w:w="864"/>
            <w:shd w:fill="F2F5F8"/>
            <w:tcMar>
              <w:top w:w="80" w:type="dxa"/>
              <w:bottom w:w="80" w:type="dxa"/>
              <w:left w:w="120" w:type="dxa"/>
              <w:right w:w="120" w:type="dxa"/>
            </w:tcMar>
          </w:tcPr>
          <w:p>
            <w:pPr>
              <w:jc w:val="left"/>
            </w:pPr>
            <w:r>
              <w:rPr>
                <w:rFonts w:ascii="Times New Roman" w:hAnsi="Times New Roman"/>
                <w:color w:val="282828"/>
                <w:sz w:val="19"/>
              </w:rPr>
              <w:t>4</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[Student Name 4 - Optional]</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[Roll No. ]</w:t>
            </w:r>
          </w:p>
        </w:tc>
        <w:tc>
          <w:tcPr>
            <w:tcW w:type="dxa" w:w="1728"/>
            <w:shd w:fill="F2F5F8"/>
            <w:tcMar>
              <w:top w:w="80" w:type="dxa"/>
              <w:bottom w:w="80" w:type="dxa"/>
              <w:left w:w="120" w:type="dxa"/>
              <w:right w:w="120" w:type="dxa"/>
            </w:tcMar>
          </w:tcPr>
          <w:p>
            <w:pPr>
              <w:jc w:val="center"/>
            </w:pPr>
            <w:r>
              <w:rPr>
                <w:rFonts w:ascii="Times New Roman" w:hAnsi="Times New Roman"/>
                <w:color w:val="282828"/>
                <w:sz w:val="19"/>
              </w:rPr>
              <w:t>[Seat No. ]</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[PRN No. ]</w:t>
            </w:r>
          </w:p>
        </w:tc>
      </w:tr>
    </w:tbl>
    <w:p/>
    <w:p>
      <w:pPr>
        <w:spacing w:before="240" w:after="80"/>
        <w:jc w:val="center"/>
      </w:pPr>
      <w:r>
        <w:rPr>
          <w:rFonts w:ascii="Times New Roman" w:hAnsi="Times New Roman"/>
          <w:b/>
          <w:sz w:val="24"/>
        </w:rPr>
        <w:t>Under the Guidance of</w:t>
        <w:br/>
        <w:t>Prof. Ms. A. S. Thorat</w:t>
        <w:br/>
        <w:t>(Assistant Professor, Department of Information Technology)</w:t>
        <w:br/>
      </w:r>
    </w:p>
    <w:p>
      <w:pPr>
        <w:spacing w:before="320" w:after="0"/>
        <w:jc w:val="center"/>
      </w:pPr>
      <w:r>
        <w:rPr>
          <w:rFonts w:ascii="Times New Roman" w:hAnsi="Times New Roman"/>
          <w:b/>
          <w:sz w:val="24"/>
        </w:rPr>
        <w:t>Department of Information Technology</w:t>
        <w:br/>
        <w:t>STES’s, Smt. Kashibai Navale College of Engineering, Vadgaon (BK), Pune - 411 041</w:t>
        <w:br/>
        <w:t>Academic Year: 2026–27</w:t>
        <w:br/>
      </w:r>
    </w:p>
    <w:p>
      <w:r>
        <w:br w:type="page"/>
      </w:r>
    </w:p>
    <w:p>
      <w:pPr>
        <w:spacing w:before="400" w:after="320"/>
        <w:jc w:val="center"/>
      </w:pPr>
      <w:r>
        <w:rPr>
          <w:rFonts w:ascii="Times New Roman" w:hAnsi="Times New Roman"/>
          <w:b/>
          <w:color w:val="1F497D"/>
          <w:sz w:val="32"/>
        </w:rPr>
        <w:t>CERTIFICATE</w:t>
        <w:br/>
      </w:r>
    </w:p>
    <w:p>
      <w:pPr>
        <w:spacing w:before="0" w:after="120" w:line="276" w:lineRule="auto"/>
        <w:jc w:val="both"/>
      </w:pPr>
      <w:r>
        <w:rPr>
          <w:rFonts w:ascii="Times New Roman" w:hAnsi="Times New Roman"/>
          <w:color w:val="141414"/>
          <w:sz w:val="22"/>
        </w:rPr>
        <w:t>This is to certify that the mini-project report entitled “EduPredict AI — Student Performance Prediction System” is a bonafide record of work carried out by Shlok S. Chaudhari (Exam Seat No. _____________) and team members in partial fulfillment of the requirements for Third Year Engineering (Information Technology) AIML Laboratory (Assignment No. 12) under the 2024 Course Pattern of Savitribai Phule Pune University, Pune, at Smt. Kashibai Navale College of Engineering, Pune during the academic year 2026–27.</w:t>
        <w:br/>
        <w:br/>
        <w:t>The project demonstrates genuine data collection, exploratory data analysis, data cleaning, scikit-learn preprocessing pipeline design, multi-model classification comparison, hyperparameter optimization, automated unit testing, and production web deployment using Streamlit.</w:t>
      </w:r>
    </w:p>
    <w:p/>
    <w:tbl>
      <w:tblPr>
        <w:tblW w:type="auto" w:w="0"/>
        <w:jc w:val="center"/>
        <w:tblLayout w:type="fixed"/>
        <w:tblLook w:firstColumn="1" w:firstRow="1" w:lastColumn="0" w:lastRow="0" w:noHBand="0" w:noVBand="1" w:val="04A0"/>
      </w:tblPr>
      <w:tblGrid>
        <w:gridCol w:w="3000"/>
        <w:gridCol w:w="3000"/>
        <w:gridCol w:w="3000"/>
      </w:tblGrid>
      <w:tr>
        <w:tc>
          <w:tcPr>
            <w:tcW w:type="dxa" w:w="2880"/>
            <w:shd w:fill="1F497D"/>
            <w:tcMar>
              <w:top w:w="120" w:type="dxa"/>
              <w:bottom w:w="120" w:type="dxa"/>
              <w:left w:w="140" w:type="dxa"/>
              <w:right w:w="140" w:type="dxa"/>
            </w:tcMar>
          </w:tcPr>
          <w:p>
            <w:pPr>
              <w:jc w:val="center"/>
            </w:pPr>
            <w:r>
              <w:rPr>
                <w:rFonts w:ascii="Times New Roman" w:hAnsi="Times New Roman"/>
                <w:b/>
                <w:color w:val="FFFFFF"/>
                <w:sz w:val="20"/>
              </w:rPr>
              <w:t>Date &amp; Place</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0"/>
              </w:rPr>
              <w:t>Guide Signature</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0"/>
              </w:rPr>
              <w:t>Head of Department</w:t>
            </w:r>
          </w:p>
        </w:tc>
      </w:tr>
      <w:tr>
        <w:tc>
          <w:tcPr>
            <w:tcW w:type="dxa" w:w="2880"/>
            <w:shd w:fill="FFFFFF"/>
            <w:tcMar>
              <w:top w:w="80" w:type="dxa"/>
              <w:bottom w:w="80" w:type="dxa"/>
              <w:left w:w="120" w:type="dxa"/>
              <w:right w:w="120" w:type="dxa"/>
            </w:tcMar>
          </w:tcPr>
          <w:p>
            <w:pPr>
              <w:jc w:val="left"/>
            </w:pPr>
            <w:r>
              <w:rPr>
                <w:rFonts w:ascii="Times New Roman" w:hAnsi="Times New Roman"/>
                <w:color w:val="282828"/>
                <w:sz w:val="19"/>
              </w:rPr>
              <w:t>Date: ____/____/2026</w:t>
              <w:br/>
              <w:br/>
              <w:t>Place: Pune</w:t>
            </w:r>
          </w:p>
        </w:tc>
        <w:tc>
          <w:tcPr>
            <w:tcW w:type="dxa" w:w="3312"/>
            <w:shd w:fill="FFFFFF"/>
            <w:tcMar>
              <w:top w:w="80" w:type="dxa"/>
              <w:bottom w:w="80" w:type="dxa"/>
              <w:left w:w="120" w:type="dxa"/>
              <w:right w:w="120" w:type="dxa"/>
            </w:tcMar>
          </w:tcPr>
          <w:p>
            <w:pPr>
              <w:jc w:val="center"/>
            </w:pPr>
            <w:r>
              <w:rPr>
                <w:rFonts w:ascii="Times New Roman" w:hAnsi="Times New Roman"/>
                <w:color w:val="282828"/>
                <w:sz w:val="19"/>
              </w:rPr>
              <w:t>Prof. Ms. A. S. Thorat</w:t>
              <w:br/>
              <w:t>Project Guide</w:t>
              <w:br/>
              <w:t>Dept. of IT</w:t>
            </w:r>
          </w:p>
        </w:tc>
        <w:tc>
          <w:tcPr>
            <w:tcW w:type="dxa" w:w="3312"/>
            <w:shd w:fill="FFFFFF"/>
            <w:tcMar>
              <w:top w:w="80" w:type="dxa"/>
              <w:bottom w:w="80" w:type="dxa"/>
              <w:left w:w="120" w:type="dxa"/>
              <w:right w:w="120" w:type="dxa"/>
            </w:tcMar>
          </w:tcPr>
          <w:p>
            <w:pPr>
              <w:jc w:val="center"/>
            </w:pPr>
            <w:r>
              <w:rPr>
                <w:rFonts w:ascii="Times New Roman" w:hAnsi="Times New Roman"/>
                <w:color w:val="282828"/>
                <w:sz w:val="19"/>
              </w:rPr>
              <w:t>Dr. M. L. Bangare</w:t>
              <w:br/>
              <w:t>Head of Department</w:t>
              <w:br/>
              <w:t>Dept. of IT, SKNCOE</w:t>
            </w:r>
          </w:p>
        </w:tc>
      </w:tr>
    </w:tbl>
    <w:p/>
    <w:p/>
    <w:p>
      <w:pPr>
        <w:jc w:val="center"/>
      </w:pPr>
      <w:r>
        <w:rPr>
          <w:rFonts w:ascii="Times New Roman" w:hAnsi="Times New Roman"/>
          <w:b/>
          <w:sz w:val="22"/>
        </w:rPr>
        <w:t>Dr. A. V. Deshpande</w:t>
        <w:br/>
        <w:t>Principal, SKNCOE, Pune</w:t>
        <w:br/>
        <w:br/>
      </w:r>
    </w:p>
    <w:p>
      <w:pPr>
        <w:jc w:val="both"/>
      </w:pPr>
      <w:r>
        <w:rPr>
          <w:rFonts w:ascii="Times New Roman" w:hAnsi="Times New Roman"/>
          <w:sz w:val="22"/>
        </w:rPr>
        <w:t>This practical project report has been examined as per the requirements of SPPU Practical Examination at Smt. Kashibai Navale College of Engineering, Pune-41 on ____________________.</w:t>
        <w:br/>
        <w:br/>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Internal Examiner: ____________________</w:t>
              <w:br/>
              <w:t>Signature: ___________________________</w:t>
            </w:r>
          </w:p>
        </w:tc>
        <w:tc>
          <w:tcPr>
            <w:tcW w:type="dxa" w:w="4500"/>
          </w:tcPr>
          <w:p>
            <w:r>
              <w:rPr>
                <w:rFonts w:ascii="Times New Roman" w:hAnsi="Times New Roman"/>
                <w:b/>
                <w:sz w:val="22"/>
              </w:rPr>
              <w:t>External Examiner: ____________________</w:t>
              <w:br/>
              <w:t>Signature: ___________________________</w:t>
            </w:r>
          </w:p>
        </w:tc>
      </w:tr>
    </w:tbl>
    <w:p>
      <w:r>
        <w:br w:type="page"/>
      </w:r>
    </w:p>
    <w:p>
      <w:pPr>
        <w:keepNext/>
        <w:spacing w:before="280" w:after="120"/>
      </w:pPr>
      <w:r>
        <w:rPr>
          <w:rFonts w:ascii="Times New Roman" w:hAnsi="Times New Roman"/>
          <w:b/>
          <w:color w:val="1F497D"/>
          <w:sz w:val="28"/>
        </w:rPr>
        <w:t>ACKNOWLEDGEMENT</w:t>
      </w:r>
    </w:p>
    <w:p>
      <w:pPr>
        <w:spacing w:before="0" w:after="120" w:line="276" w:lineRule="auto"/>
        <w:jc w:val="both"/>
      </w:pPr>
      <w:r>
        <w:rPr>
          <w:rFonts w:ascii="Times New Roman" w:hAnsi="Times New Roman"/>
          <w:color w:val="141414"/>
          <w:sz w:val="22"/>
        </w:rPr>
        <w:t>I express my profound gratitude and highest respect to my project guide, Prof. Ms. A. S. Thorat, Department of Information Technology, Smt. Kashibai Navale College of Engineering, Pune. Her insightful technical guidance, rigorous critiques regarding machine learning pipelines, and steadfast encouragement were instrumental in successfully formulating and executing this Artificial Intelligence and Machine Learning assignment.</w:t>
      </w:r>
    </w:p>
    <w:p>
      <w:pPr>
        <w:spacing w:before="0" w:after="120" w:line="276" w:lineRule="auto"/>
        <w:jc w:val="both"/>
      </w:pPr>
      <w:r>
        <w:rPr>
          <w:rFonts w:ascii="Times New Roman" w:hAnsi="Times New Roman"/>
          <w:color w:val="141414"/>
          <w:sz w:val="22"/>
        </w:rPr>
        <w:t>I express sincere thanks to Dr. M. L. Bangare, Head of the Department of Information Technology, for providing the high-performance computing infrastructure, laboratory amenities, and scholarly encouragement that made this mini-project feasible. I equally express my gratitude to our respected Principal, Dr. A. V. Deshpande, for fostering an academic environment dedicated to technical competence and innovation.</w:t>
      </w:r>
    </w:p>
    <w:p>
      <w:pPr>
        <w:spacing w:before="0" w:after="120" w:line="276" w:lineRule="auto"/>
        <w:jc w:val="both"/>
      </w:pPr>
      <w:r>
        <w:rPr>
          <w:rFonts w:ascii="Times New Roman" w:hAnsi="Times New Roman"/>
          <w:color w:val="141414"/>
          <w:sz w:val="22"/>
        </w:rPr>
        <w:t>I extend my heartfelt appreciation to all teaching faculty and technical laboratory assistants of the Department of Information Technology for their timely advice and logistical support throughout the laboratory sessions. Lastly, I am indebted to my parents, family members, and peer students for their moral support, motivation, and cooperation during the project development lifecycle.</w:t>
      </w:r>
    </w:p>
    <w:p>
      <w:pPr>
        <w:spacing w:before="400"/>
        <w:jc w:val="right"/>
      </w:pPr>
      <w:r>
        <w:rPr>
          <w:rFonts w:ascii="Times New Roman" w:hAnsi="Times New Roman"/>
          <w:b/>
          <w:sz w:val="22"/>
        </w:rPr>
        <w:t>Shlok S. Chaudhari</w:t>
        <w:br/>
        <w:t>Exam Seat No. [           ]</w:t>
        <w:br/>
        <w:t>TE Information Technology (SPPU 2024 Pattern)</w:t>
      </w:r>
    </w:p>
    <w:p>
      <w:r>
        <w:br w:type="page"/>
      </w:r>
    </w:p>
    <w:p>
      <w:pPr>
        <w:keepNext/>
        <w:spacing w:before="280" w:after="120"/>
      </w:pPr>
      <w:r>
        <w:rPr>
          <w:rFonts w:ascii="Times New Roman" w:hAnsi="Times New Roman"/>
          <w:b/>
          <w:color w:val="1F497D"/>
          <w:sz w:val="28"/>
        </w:rPr>
        <w:t>ABSTRACT</w:t>
      </w:r>
    </w:p>
    <w:p>
      <w:pPr>
        <w:spacing w:before="0" w:after="120" w:line="276" w:lineRule="auto"/>
        <w:jc w:val="both"/>
      </w:pPr>
      <w:r>
        <w:rPr>
          <w:rFonts w:ascii="Times New Roman" w:hAnsi="Times New Roman"/>
          <w:color w:val="141414"/>
          <w:sz w:val="22"/>
        </w:rPr>
        <w:t>Predicting student academic performance and proactively detecting individuals vulnerable to academic failure is a vital application of Educational Data Mining (EDM) and Artificial Intelligence. Early identification enables academic institutions, counselors, and faculty mentors to deploy targeted pedagogical interventions before terminal semester examinations. This mini-project, entitled “EduPredict AI — Student Performance Prediction System”, satisfies all curricular competencies mandated by AIML Assignment No. 12 under the Savitribai Phule Pune University (SPPU) 2024 Pattern for Third Year Information Technology.</w:t>
      </w:r>
    </w:p>
    <w:p>
      <w:pPr>
        <w:spacing w:before="0" w:after="120" w:line="276" w:lineRule="auto"/>
        <w:jc w:val="both"/>
      </w:pPr>
      <w:r>
        <w:rPr>
          <w:rFonts w:ascii="Times New Roman" w:hAnsi="Times New Roman"/>
          <w:color w:val="141414"/>
          <w:sz w:val="22"/>
        </w:rPr>
        <w:t>EduPredict AI utilizes the benchmark UCI Student Performance dataset (Mathematics course, 395 student instances, 33 attributes) to model multi-dimensional academic trajectories spanning demographic background, family education, study habits, lifestyle, attendance, and periodic formative grades. The problem is formulated as a three-tier stratified classification task: Low Performance (Final Grade G3 between 0–9, High Risk), Medium Performance (G3 between 10–14, Moderate Risk), and High Performance (G3 between 15–20, Low Risk). To guarantee scientific rigor and eradicate data leakage, an scikit-learn ColumnTransformer pipeline is implemented combining StandardScaler for numerical features and OneHotEncoder with handle_unknown='ignore' for categorical attributes.</w:t>
      </w:r>
    </w:p>
    <w:p>
      <w:pPr>
        <w:spacing w:before="0" w:after="120" w:line="276" w:lineRule="auto"/>
        <w:jc w:val="both"/>
      </w:pPr>
      <w:r>
        <w:rPr>
          <w:rFonts w:ascii="Times New Roman" w:hAnsi="Times New Roman"/>
          <w:color w:val="141414"/>
          <w:sz w:val="22"/>
        </w:rPr>
        <w:t>Three distinct supervised learning paradigms are trained and empirically benchmarked under 5-fold stratified cross-validation: Random Forest Classifier (CV Accuracy: 85.75% ± 2.06%), Support Vector Machine with RBF kernel (CV Accuracy: 79.10% ± 5.11%), and Gradient Boosting Classifier (CV Accuracy: 88.92% ± 1.74%). Gradient Boosting was selected as the superior architecture and subsequently optimized via GridSearchCV hyperparameter tuning, reaching a best CV score of 90.19% and an uncompromised test set accuracy of 89.87% (Precision: 0.8987, Recall: 0.8987, Weighted F1-Score: 0.8987) on the 20% held-out test split (79 samples). Feature importance analysis reveals that formative assessment scores (G2 and G1) represent the strongest predictors, complemented by parental education and attendance. The model and transformation pipeline are serialized using Joblib and served via a responsive Streamlit web dashboard providing real-time interactive inference, probabilistic confidence scores, and automated personalized academic recommendations. The codebase is validated by 32 automated unit tests with 100% pass rate.</w:t>
      </w:r>
    </w:p>
    <w:p>
      <w:pPr>
        <w:spacing w:before="200"/>
      </w:pPr>
      <w:r>
        <w:rPr>
          <w:rFonts w:ascii="Times New Roman" w:hAnsi="Times New Roman"/>
          <w:b/>
          <w:sz w:val="22"/>
        </w:rPr>
        <w:t xml:space="preserve">Keywords: </w:t>
      </w:r>
      <w:r>
        <w:rPr>
          <w:rFonts w:ascii="Times New Roman" w:hAnsi="Times New Roman"/>
          <w:i/>
          <w:sz w:val="22"/>
        </w:rPr>
        <w:t>Educational Data Mining, Student Performance Prediction, Scikit-learn Pipeline, Gradient Boosting, Random Forest, Support Vector Machine, Cross-Validation, Streamlit Dashboard, SPPU AIML Assignment 12.</w:t>
      </w:r>
    </w:p>
    <w:p>
      <w:r>
        <w:br w:type="page"/>
      </w:r>
    </w:p>
    <w:p>
      <w:pPr>
        <w:keepNext/>
        <w:spacing w:before="280" w:after="120"/>
      </w:pPr>
      <w:r>
        <w:rPr>
          <w:rFonts w:ascii="Times New Roman" w:hAnsi="Times New Roman"/>
          <w:b/>
          <w:color w:val="1F497D"/>
          <w:sz w:val="28"/>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1152"/>
            <w:shd w:fill="1F497D"/>
            <w:tcMar>
              <w:top w:w="120" w:type="dxa"/>
              <w:bottom w:w="120" w:type="dxa"/>
              <w:left w:w="140" w:type="dxa"/>
              <w:right w:w="140" w:type="dxa"/>
            </w:tcMar>
          </w:tcPr>
          <w:p>
            <w:pPr>
              <w:jc w:val="center"/>
            </w:pPr>
            <w:r>
              <w:rPr>
                <w:rFonts w:ascii="Times New Roman" w:hAnsi="Times New Roman"/>
                <w:b/>
                <w:color w:val="FFFFFF"/>
                <w:sz w:val="20"/>
              </w:rPr>
              <w:t>Section</w:t>
            </w:r>
          </w:p>
        </w:tc>
        <w:tc>
          <w:tcPr>
            <w:tcW w:type="dxa" w:w="6480"/>
            <w:shd w:fill="1F497D"/>
            <w:tcMar>
              <w:top w:w="120" w:type="dxa"/>
              <w:bottom w:w="120" w:type="dxa"/>
              <w:left w:w="140" w:type="dxa"/>
              <w:right w:w="140" w:type="dxa"/>
            </w:tcMar>
          </w:tcPr>
          <w:p>
            <w:pPr>
              <w:jc w:val="center"/>
            </w:pPr>
            <w:r>
              <w:rPr>
                <w:rFonts w:ascii="Times New Roman" w:hAnsi="Times New Roman"/>
                <w:b/>
                <w:color w:val="FFFFFF"/>
                <w:sz w:val="20"/>
              </w:rPr>
              <w:t>Title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Page No.</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Certificate &amp; Approval</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ii</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Acknowledgement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iii</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Abstract</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iv</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List of Figures &amp; List of Tables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v</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Assignment Mapping Matrix (SPPU AIML Lab)</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vi</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INTRODUCTION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1.1</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Domain Background &amp; Educational Data Mining</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1.2</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Project Title &amp; Overview</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2</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1.3</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Problem Definition &amp; Problem Statement</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1.4</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Aims and Objectives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3</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1.5</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Project Scope and Boundaries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3</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2</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DATASET COLLECTION AND CHARACTERIZATION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4</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2.1</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Dataset Source and Acquisition Protocol</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4</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2.2</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Target Variable Formulation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4</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2.3</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Comprehensive Feature Catalog and Attributes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5</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2.4</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Dataset Summary Statistics and Constraints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6</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3</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METHODOLOGY AND DATA PREPROCESSING</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7</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3.1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Data Cleaning and Imputation Strategy</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7</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3.2</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Feature Transformation &amp; Encoding Pipeline</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8</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3.3</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Data Partitioning &amp; Leakage Elimination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8</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4</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ALGORITHM DEVELOPMENT AND MODEL ARCHITECTURES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10</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4.1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Candidate Classifier Paradigms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10</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4.2</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Model Comparison Protocol (Stratified 5-Fold CV)</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11</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4.3</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Hyperparameter Optimization via GridSearchCV</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12</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5</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SYSTEM ARCHITECTURE AND WORKFLOW</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13</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5.1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End-to-End System Architecture</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13</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5.2</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Detailed Execution Workflow</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14</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5.3</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Software and Hardware Requirements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15</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6</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PERFORMANCE EVALUATION AND RESULT ANALYSIS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16</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6.1</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Evaluation Metrics Formulation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16</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6.2</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Experimental Results and Model Comparison</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16</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6.3</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Confusion Matrix Analysis (Optimized Model)</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17</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6.4</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Feature Importance Interpretability</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18</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7</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APPLICATION INTERFACE AND AUTOMATED TESTING</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19</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7.1</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Streamlit Dashboard Architecture</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19</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7.2</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Application Screenshots and Interface Demonstration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19</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7.3</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Automated Test Suite Execution (Pytest)</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21</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8</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CONCLUSION AND FUTURE SCOPE</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22</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8.1</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Conclusion and Key Insights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22</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8.2</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Ethical AI Disclaimer &amp; Practical Limitations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22</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8.3</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Future Research and Expansion Directions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23</w:t>
            </w:r>
          </w:p>
        </w:tc>
      </w:tr>
      <w:tr>
        <w:tc>
          <w:tcPr>
            <w:tcW w:type="dxa" w:w="1152"/>
            <w:shd w:fill="F2F5F8"/>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2F5F8"/>
            <w:tcMar>
              <w:top w:w="80" w:type="dxa"/>
              <w:bottom w:w="80" w:type="dxa"/>
              <w:left w:w="120" w:type="dxa"/>
              <w:right w:w="120" w:type="dxa"/>
            </w:tcMar>
          </w:tcPr>
          <w:p>
            <w:pPr>
              <w:jc w:val="center"/>
            </w:pPr>
            <w:r>
              <w:rPr>
                <w:rFonts w:ascii="Times New Roman" w:hAnsi="Times New Roman"/>
                <w:color w:val="282828"/>
                <w:sz w:val="19"/>
              </w:rPr>
              <w:t>REFERENCES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24</w:t>
            </w:r>
          </w:p>
        </w:tc>
      </w:tr>
      <w:tr>
        <w:tc>
          <w:tcPr>
            <w:tcW w:type="dxa" w:w="1152"/>
            <w:shd w:fill="FFFFFF"/>
            <w:tcMar>
              <w:top w:w="80" w:type="dxa"/>
              <w:bottom w:w="80" w:type="dxa"/>
              <w:left w:w="120" w:type="dxa"/>
              <w:right w:w="120" w:type="dxa"/>
            </w:tcMar>
          </w:tcPr>
          <w:p>
            <w:pPr>
              <w:jc w:val="left"/>
            </w:pPr>
            <w:r>
              <w:rPr>
                <w:rFonts w:ascii="Times New Roman" w:hAnsi="Times New Roman"/>
                <w:color w:val="282828"/>
                <w:sz w:val="19"/>
              </w:rPr>
              <w:t>-</w:t>
            </w:r>
          </w:p>
        </w:tc>
        <w:tc>
          <w:tcPr>
            <w:tcW w:type="dxa" w:w="6480"/>
            <w:shd w:fill="FFFFFF"/>
            <w:tcMar>
              <w:top w:w="80" w:type="dxa"/>
              <w:bottom w:w="80" w:type="dxa"/>
              <w:left w:w="120" w:type="dxa"/>
              <w:right w:w="120" w:type="dxa"/>
            </w:tcMar>
          </w:tcPr>
          <w:p>
            <w:pPr>
              <w:jc w:val="center"/>
            </w:pPr>
            <w:r>
              <w:rPr>
                <w:rFonts w:ascii="Times New Roman" w:hAnsi="Times New Roman"/>
                <w:color w:val="282828"/>
                <w:sz w:val="19"/>
              </w:rPr>
              <w:t>APPENDIX: Execution Guide &amp; Commands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25</w:t>
            </w:r>
          </w:p>
        </w:tc>
      </w:tr>
    </w:tbl>
    <w:p/>
    <w:p>
      <w:r>
        <w:br w:type="page"/>
      </w:r>
    </w:p>
    <w:p>
      <w:pPr>
        <w:keepNext/>
        <w:spacing w:before="280" w:after="120"/>
      </w:pPr>
      <w:r>
        <w:rPr>
          <w:rFonts w:ascii="Times New Roman" w:hAnsi="Times New Roman"/>
          <w:b/>
          <w:color w:val="1F497D"/>
          <w:sz w:val="28"/>
        </w:rPr>
        <w:t>LIST OF FIGURES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F497D"/>
            <w:tcMar>
              <w:top w:w="120" w:type="dxa"/>
              <w:bottom w:w="120" w:type="dxa"/>
              <w:left w:w="140" w:type="dxa"/>
              <w:right w:w="140" w:type="dxa"/>
            </w:tcMar>
          </w:tcPr>
          <w:p>
            <w:pPr>
              <w:jc w:val="center"/>
            </w:pPr>
            <w:r>
              <w:rPr>
                <w:rFonts w:ascii="Times New Roman" w:hAnsi="Times New Roman"/>
                <w:b/>
                <w:color w:val="FFFFFF"/>
                <w:sz w:val="20"/>
              </w:rPr>
              <w:t>Figure No.</w:t>
            </w:r>
          </w:p>
        </w:tc>
        <w:tc>
          <w:tcPr>
            <w:tcW w:type="dxa" w:w="6192"/>
            <w:shd w:fill="1F497D"/>
            <w:tcMar>
              <w:top w:w="120" w:type="dxa"/>
              <w:bottom w:w="120" w:type="dxa"/>
              <w:left w:w="140" w:type="dxa"/>
              <w:right w:w="140" w:type="dxa"/>
            </w:tcMar>
          </w:tcPr>
          <w:p>
            <w:pPr>
              <w:jc w:val="center"/>
            </w:pPr>
            <w:r>
              <w:rPr>
                <w:rFonts w:ascii="Times New Roman" w:hAnsi="Times New Roman"/>
                <w:b/>
                <w:color w:val="FFFFFF"/>
                <w:sz w:val="20"/>
              </w:rPr>
              <w:t>Figure Caption / Description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Page No.</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Figure 2.1</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Class Distribution of Student Performance Categories (G3)</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5</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Figure 4.1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Model Comparison Across Evaluation Metrics (Test Set)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12</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Figure 5.1</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End-to-End Modular System Architecture of EduPredict AI</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13</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Figure 6.1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Confusion Matrix for Optimized Gradient Boosting Classifier</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17</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Figure 6.2</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Top 15 Feature Importances Ranked by Gini Impurity Gain</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18</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Figure 7.1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Streamlit Home Interface Displaying Verified Production Metrics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20</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Figure 7.2</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Interactive Inference Form and Risk Assessment Output Screen</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20</w:t>
            </w:r>
          </w:p>
        </w:tc>
      </w:tr>
    </w:tbl>
    <w:p/>
    <w:p>
      <w:pPr>
        <w:keepNext/>
        <w:spacing w:before="280" w:after="120"/>
      </w:pPr>
      <w:r>
        <w:rPr>
          <w:rFonts w:ascii="Times New Roman" w:hAnsi="Times New Roman"/>
          <w:b/>
          <w:color w:val="1F497D"/>
          <w:sz w:val="28"/>
        </w:rPr>
        <w:t>LIST OF TABLES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1F497D"/>
            <w:tcMar>
              <w:top w:w="120" w:type="dxa"/>
              <w:bottom w:w="120" w:type="dxa"/>
              <w:left w:w="140" w:type="dxa"/>
              <w:right w:w="140" w:type="dxa"/>
            </w:tcMar>
          </w:tcPr>
          <w:p>
            <w:pPr>
              <w:jc w:val="center"/>
            </w:pPr>
            <w:r>
              <w:rPr>
                <w:rFonts w:ascii="Times New Roman" w:hAnsi="Times New Roman"/>
                <w:b/>
                <w:color w:val="FFFFFF"/>
                <w:sz w:val="20"/>
              </w:rPr>
              <w:t>Table No.</w:t>
            </w:r>
          </w:p>
        </w:tc>
        <w:tc>
          <w:tcPr>
            <w:tcW w:type="dxa" w:w="6192"/>
            <w:shd w:fill="1F497D"/>
            <w:tcMar>
              <w:top w:w="120" w:type="dxa"/>
              <w:bottom w:w="120" w:type="dxa"/>
              <w:left w:w="140" w:type="dxa"/>
              <w:right w:w="140" w:type="dxa"/>
            </w:tcMar>
          </w:tcPr>
          <w:p>
            <w:pPr>
              <w:jc w:val="center"/>
            </w:pPr>
            <w:r>
              <w:rPr>
                <w:rFonts w:ascii="Times New Roman" w:hAnsi="Times New Roman"/>
                <w:b/>
                <w:color w:val="FFFFFF"/>
                <w:sz w:val="20"/>
              </w:rPr>
              <w:t>Table Caption / Description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Page No.</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Table 1.1</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AIML Assignment No. 12 Curricular Mapping Matrix</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vi</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Table 2.1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Target Variable Categorization and Academic Risk Mapping</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4</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Table 2.2</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Complete Feature Catalog of the UCI Student Performance Dataset</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5</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Table 3.1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Data Preprocessing and Pipeline Specification</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8</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Table 4.1</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5-Fold Cross-Validation Performance Across Candidate Models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11</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Table 4.2</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GridSearchCV Hyperparameter Optimization Results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12</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Table 5.1</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Hardware and Software Environment Specifications</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15</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Table 6.1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Test Set Performance Metrics Summary Across Models</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16</w:t>
            </w:r>
          </w:p>
        </w:tc>
      </w:tr>
      <w:tr>
        <w:tc>
          <w:tcPr>
            <w:tcW w:type="dxa" w:w="1728"/>
            <w:shd w:fill="FFFFFF"/>
            <w:tcMar>
              <w:top w:w="80" w:type="dxa"/>
              <w:bottom w:w="80" w:type="dxa"/>
              <w:left w:w="120" w:type="dxa"/>
              <w:right w:w="120" w:type="dxa"/>
            </w:tcMar>
          </w:tcPr>
          <w:p>
            <w:pPr>
              <w:jc w:val="left"/>
            </w:pPr>
            <w:r>
              <w:rPr>
                <w:rFonts w:ascii="Times New Roman" w:hAnsi="Times New Roman"/>
                <w:color w:val="282828"/>
                <w:sz w:val="19"/>
              </w:rPr>
              <w:t>Table 6.2</w:t>
            </w:r>
          </w:p>
        </w:tc>
        <w:tc>
          <w:tcPr>
            <w:tcW w:type="dxa" w:w="6192"/>
            <w:shd w:fill="FFFFFF"/>
            <w:tcMar>
              <w:top w:w="80" w:type="dxa"/>
              <w:bottom w:w="80" w:type="dxa"/>
              <w:left w:w="120" w:type="dxa"/>
              <w:right w:w="120" w:type="dxa"/>
            </w:tcMar>
          </w:tcPr>
          <w:p>
            <w:pPr>
              <w:jc w:val="center"/>
            </w:pPr>
            <w:r>
              <w:rPr>
                <w:rFonts w:ascii="Times New Roman" w:hAnsi="Times New Roman"/>
                <w:color w:val="282828"/>
                <w:sz w:val="19"/>
              </w:rPr>
              <w:t>Detailed Classification Report for Optimized Gradient Boosting</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17</w:t>
            </w:r>
          </w:p>
        </w:tc>
      </w:tr>
      <w:tr>
        <w:tc>
          <w:tcPr>
            <w:tcW w:type="dxa" w:w="1728"/>
            <w:shd w:fill="F2F5F8"/>
            <w:tcMar>
              <w:top w:w="80" w:type="dxa"/>
              <w:bottom w:w="80" w:type="dxa"/>
              <w:left w:w="120" w:type="dxa"/>
              <w:right w:w="120" w:type="dxa"/>
            </w:tcMar>
          </w:tcPr>
          <w:p>
            <w:pPr>
              <w:jc w:val="left"/>
            </w:pPr>
            <w:r>
              <w:rPr>
                <w:rFonts w:ascii="Times New Roman" w:hAnsi="Times New Roman"/>
                <w:color w:val="282828"/>
                <w:sz w:val="19"/>
              </w:rPr>
              <w:t>Table 7.1</w:t>
            </w:r>
          </w:p>
        </w:tc>
        <w:tc>
          <w:tcPr>
            <w:tcW w:type="dxa" w:w="6192"/>
            <w:shd w:fill="F2F5F8"/>
            <w:tcMar>
              <w:top w:w="80" w:type="dxa"/>
              <w:bottom w:w="80" w:type="dxa"/>
              <w:left w:w="120" w:type="dxa"/>
              <w:right w:w="120" w:type="dxa"/>
            </w:tcMar>
          </w:tcPr>
          <w:p>
            <w:pPr>
              <w:jc w:val="center"/>
            </w:pPr>
            <w:r>
              <w:rPr>
                <w:rFonts w:ascii="Times New Roman" w:hAnsi="Times New Roman"/>
                <w:color w:val="282828"/>
                <w:sz w:val="19"/>
              </w:rPr>
              <w:t>Summary of Automated Test Suite Results (Pytest)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21</w:t>
            </w:r>
          </w:p>
        </w:tc>
      </w:tr>
    </w:tbl>
    <w:p/>
    <w:p>
      <w:pPr>
        <w:keepNext/>
        <w:spacing w:before="280" w:after="120"/>
      </w:pPr>
      <w:r>
        <w:rPr>
          <w:rFonts w:ascii="Times New Roman" w:hAnsi="Times New Roman"/>
          <w:b/>
          <w:color w:val="1F497D"/>
          <w:sz w:val="28"/>
        </w:rPr>
        <w:t>ASSIGNMENT NO. 12 CURRICULAR MAPPING MATRIX</w:t>
      </w:r>
    </w:p>
    <w:p>
      <w:pPr>
        <w:spacing w:before="0" w:after="120" w:line="276" w:lineRule="auto"/>
        <w:jc w:val="both"/>
      </w:pPr>
      <w:r>
        <w:rPr>
          <w:rFonts w:ascii="Times New Roman" w:hAnsi="Times New Roman"/>
          <w:color w:val="141414"/>
          <w:sz w:val="22"/>
        </w:rPr>
        <w:t>Table 1.1 explicitly maps every required component mandated by the SPPU AIML Laboratory Syllabus for Assignment No. 12 to the corresponding report chapter and implemented codebase file:</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F497D"/>
            <w:tcMar>
              <w:top w:w="120" w:type="dxa"/>
              <w:bottom w:w="120" w:type="dxa"/>
              <w:left w:w="140" w:type="dxa"/>
              <w:right w:w="140" w:type="dxa"/>
            </w:tcMar>
          </w:tcPr>
          <w:p>
            <w:pPr>
              <w:jc w:val="center"/>
            </w:pPr>
            <w:r>
              <w:rPr>
                <w:rFonts w:ascii="Times New Roman" w:hAnsi="Times New Roman"/>
                <w:b/>
                <w:color w:val="FFFFFF"/>
                <w:sz w:val="20"/>
              </w:rPr>
              <w:t>Syllabus Requirement</w:t>
            </w:r>
          </w:p>
        </w:tc>
        <w:tc>
          <w:tcPr>
            <w:tcW w:type="dxa" w:w="3888"/>
            <w:shd w:fill="1F497D"/>
            <w:tcMar>
              <w:top w:w="120" w:type="dxa"/>
              <w:bottom w:w="120" w:type="dxa"/>
              <w:left w:w="140" w:type="dxa"/>
              <w:right w:w="140" w:type="dxa"/>
            </w:tcMar>
          </w:tcPr>
          <w:p>
            <w:pPr>
              <w:jc w:val="center"/>
            </w:pPr>
            <w:r>
              <w:rPr>
                <w:rFonts w:ascii="Times New Roman" w:hAnsi="Times New Roman"/>
                <w:b/>
                <w:color w:val="FFFFFF"/>
                <w:sz w:val="20"/>
              </w:rPr>
              <w:t>Implemented Module / Component</w:t>
            </w:r>
          </w:p>
        </w:tc>
        <w:tc>
          <w:tcPr>
            <w:tcW w:type="dxa" w:w="3168"/>
            <w:shd w:fill="1F497D"/>
            <w:tcMar>
              <w:top w:w="120" w:type="dxa"/>
              <w:bottom w:w="120" w:type="dxa"/>
              <w:left w:w="140" w:type="dxa"/>
              <w:right w:w="140" w:type="dxa"/>
            </w:tcMar>
          </w:tcPr>
          <w:p>
            <w:pPr>
              <w:jc w:val="center"/>
            </w:pPr>
            <w:r>
              <w:rPr>
                <w:rFonts w:ascii="Times New Roman" w:hAnsi="Times New Roman"/>
                <w:b/>
                <w:color w:val="FFFFFF"/>
                <w:sz w:val="20"/>
              </w:rPr>
              <w:t>Report Chapter / Section</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1. Real-World Public Dataset</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UCI Student Performance Dataset (data/student-mat.csv)</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Chapter 2 (Dataset Collection)</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2. Data Cleaning &amp; Encoding</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src/preprocessing.py (ColumnTransformer &amp; Imputation)</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Chapter 3 (Preprocessing)</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3. Multi-Model Development</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src/model_training.py (Random Forest, SVM, Gradient Boost)</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Chapter 4 (Algorithms)</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4. Leakage-Free Data Splitting</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80/20 Stratified Split &amp; Pipeline-embedded Preprocessor</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Section 3.3 &amp; Section 4.2</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5. Cross-Validation &amp; Optimization</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5-Fold Stratified CV &amp; GridSearchCV Hyperparameter Tuning</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Section 4.2 &amp; Section 4.3</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6. Multi-Metric Evaluation</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src/evaluation.py (Accuracy, Precision, Recall, F1, CM)</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Chapter 6 (Evaluation)</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7. Model &amp; Pipeline Persistence</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Joblib serialization (models/best_model.joblib)</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Section 5.1 &amp; Section 5.2</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8. Interactive Web Dashboard</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Streamlit UI Application (app.py)</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Chapter 7 (Application)</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9. Automated Testing &amp; Verification</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Pytest Suite (tests/test_preprocessing.py &amp; test_predictor.py)</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Section 7.3 (Testing)</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10. Ethical Disclaimer &amp; Limitations</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Statistical advisory notice in UI &amp; Report</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Section 1.5 &amp; Section 8.2</w:t>
            </w:r>
          </w:p>
        </w:tc>
      </w:tr>
    </w:tbl>
    <w:p/>
    <w:p>
      <w:r>
        <w:br w:type="page"/>
      </w:r>
    </w:p>
    <w:p>
      <w:pPr>
        <w:keepNext/>
        <w:spacing w:before="280" w:after="120"/>
      </w:pPr>
      <w:r>
        <w:rPr>
          <w:rFonts w:ascii="Times New Roman" w:hAnsi="Times New Roman"/>
          <w:b/>
          <w:color w:val="1F497D"/>
          <w:sz w:val="28"/>
        </w:rPr>
        <w:t>CHAPTER 1: INTRODUCTION</w:t>
      </w:r>
    </w:p>
    <w:p>
      <w:pPr>
        <w:keepNext/>
        <w:spacing w:before="200" w:after="80"/>
      </w:pPr>
      <w:r>
        <w:rPr>
          <w:rFonts w:ascii="Times New Roman" w:hAnsi="Times New Roman"/>
          <w:b/>
          <w:color w:val="002060"/>
          <w:sz w:val="24"/>
        </w:rPr>
        <w:t>1.1 Domain Background &amp; Educational Data Mining</w:t>
      </w:r>
    </w:p>
    <w:p>
      <w:pPr>
        <w:spacing w:before="0" w:after="120" w:line="276" w:lineRule="auto"/>
        <w:jc w:val="both"/>
      </w:pPr>
      <w:r>
        <w:rPr>
          <w:rFonts w:ascii="Times New Roman" w:hAnsi="Times New Roman"/>
          <w:color w:val="141414"/>
          <w:sz w:val="22"/>
        </w:rPr>
        <w:t>Higher educational institutions face profound challenges in tracking student scholastic progression, reducing attrition, and mitigating academic failure. Traditional academic monitoring mechanisms depend predominantly on summative assessments conducted at the conclusion of an academic semester. Consequently, educators and mentor faculty frequently detect academic distress only after a student has failed critical examinations, precluding timely remedial instruction or counseling.</w:t>
        <w:br/>
        <w:br/>
        <w:t>Educational Data Mining (EDM) and Artificial Intelligence (AI) provide transformative paradigms to address this limitation. By leveraging supervised machine learning algorithms, educational institutions can uncover latent relationships across heterogeneous factors—including socio-demographic indicators, parental educational qualifications, weekly study allocation, past failure history, and formative mid-term marks. Robust predictive models enable early detection of at-risk students, enabling proactive, personalized pedagogical support and data-driven academic governance.</w:t>
      </w:r>
    </w:p>
    <w:p>
      <w:pPr>
        <w:keepNext/>
        <w:spacing w:before="200" w:after="80"/>
      </w:pPr>
      <w:r>
        <w:rPr>
          <w:rFonts w:ascii="Times New Roman" w:hAnsi="Times New Roman"/>
          <w:b/>
          <w:color w:val="002060"/>
          <w:sz w:val="24"/>
        </w:rPr>
        <w:t>1.2 Project Title &amp; Overview</w:t>
      </w:r>
    </w:p>
    <w:p>
      <w:pPr>
        <w:spacing w:before="0" w:after="120" w:line="276" w:lineRule="auto"/>
        <w:jc w:val="both"/>
      </w:pPr>
      <w:r>
        <w:rPr>
          <w:rFonts w:ascii="Times New Roman" w:hAnsi="Times New Roman"/>
          <w:color w:val="141414"/>
          <w:sz w:val="22"/>
        </w:rPr>
        <w:t>The project is entitled “EduPredict AI — Student Performance Prediction System”. It is engineered as a complete, modular, and production-grade machine learning application designed to satisfy the rigorous curricular objectives of AIML Assignment No. 12 (Third Year Information Technology, SPPU 2024 Pattern). The system ingests multi-attribute student profiles, performs automated data sanitization and scikit-learn pipeline transformations, executes multi-model classification, evaluates performance against standard statistical metrics, optimizes hyperparameters via exhaustive grid search, and delivers real-time inferences through an interactive Streamlit web dashboard.</w:t>
      </w:r>
    </w:p>
    <w:p>
      <w:pPr>
        <w:keepNext/>
        <w:spacing w:before="200" w:after="80"/>
      </w:pPr>
      <w:r>
        <w:rPr>
          <w:rFonts w:ascii="Times New Roman" w:hAnsi="Times New Roman"/>
          <w:b/>
          <w:color w:val="002060"/>
          <w:sz w:val="24"/>
        </w:rPr>
        <w:t>1.3 Problem Definition &amp; Problem Statement</w:t>
      </w:r>
    </w:p>
    <w:p>
      <w:pPr>
        <w:spacing w:before="0" w:after="120" w:line="276" w:lineRule="auto"/>
        <w:jc w:val="both"/>
      </w:pPr>
      <w:r>
        <w:rPr>
          <w:rFonts w:ascii="Times New Roman" w:hAnsi="Times New Roman"/>
          <w:color w:val="141414"/>
          <w:sz w:val="22"/>
        </w:rPr>
        <w:t>Problem Definition: Academic failure is influenced by a non-linear combination of academic habits, social attributes, and formative performance. A monolithic heuristic or single-feature evaluation cannot capture these complex dependencies. The objective is to design a predictive machine learning framework capable of accurately classifying student performance into discrete categories while providing interpretability and risk-level categorization.</w:t>
        <w:br/>
        <w:br/>
        <w:t>Formal Problem Statement: Given a dataset D containing N = 395 student instances characterized by d = 32 multi-modal attributes X = {x1, x2, ..., xd} spanning demographic, familial, behavioral, and formative academic features, develop an optimal classification hypothesis f: X -&gt; Y that maps each student profile to an academic performance class Y in {'Low', 'Medium', 'High'} corresponding to final grade intervals G3 in [0, 9], [10, 14], and [15, 20] respectively, while maximizing classification accuracy, minimizing false positives for at-risk detection, and ensuring complete reproducibility.</w:t>
      </w:r>
    </w:p>
    <w:p>
      <w:pPr>
        <w:keepNext/>
        <w:spacing w:before="200" w:after="80"/>
      </w:pPr>
      <w:r>
        <w:rPr>
          <w:rFonts w:ascii="Times New Roman" w:hAnsi="Times New Roman"/>
          <w:b/>
          <w:color w:val="002060"/>
          <w:sz w:val="24"/>
        </w:rPr>
        <w:t>1.4 Aims and Objectives</w:t>
      </w:r>
    </w:p>
    <w:p>
      <w:pPr>
        <w:spacing w:before="0" w:after="120" w:line="276" w:lineRule="auto"/>
        <w:jc w:val="both"/>
      </w:pPr>
      <w:r>
        <w:rPr>
          <w:rFonts w:ascii="Times New Roman" w:hAnsi="Times New Roman"/>
          <w:color w:val="141414"/>
          <w:sz w:val="22"/>
        </w:rPr>
        <w:t>The key academic and technical objectives of this project are formulated as follows:</w:t>
      </w:r>
    </w:p>
    <w:p>
      <w:pPr>
        <w:pStyle w:val="ListBullet"/>
        <w:spacing w:before="20" w:after="60" w:line="276" w:lineRule="auto"/>
        <w:jc w:val="both"/>
      </w:pPr>
      <w:r>
        <w:rPr>
          <w:rFonts w:ascii="Times New Roman" w:hAnsi="Times New Roman"/>
          <w:b/>
          <w:sz w:val="22"/>
        </w:rPr>
        <w:t xml:space="preserve">1. Dataset Acquisition: </w:t>
      </w:r>
      <w:r>
        <w:rPr>
          <w:rFonts w:ascii="Times New Roman" w:hAnsi="Times New Roman"/>
          <w:sz w:val="22"/>
        </w:rPr>
        <w:t>Acquire, document, and characterize the real-world, publicly accessible UCI Student Performance dataset (Mathematics course) without synthesizing or fabricating records.</w:t>
      </w:r>
    </w:p>
    <w:p>
      <w:pPr>
        <w:pStyle w:val="ListBullet"/>
        <w:spacing w:before="20" w:after="60" w:line="276" w:lineRule="auto"/>
        <w:jc w:val="both"/>
      </w:pPr>
      <w:r>
        <w:rPr>
          <w:rFonts w:ascii="Times New Roman" w:hAnsi="Times New Roman"/>
          <w:b/>
          <w:sz w:val="22"/>
        </w:rPr>
        <w:t xml:space="preserve">2. Pipeline-Based Preprocessing: </w:t>
      </w:r>
      <w:r>
        <w:rPr>
          <w:rFonts w:ascii="Times New Roman" w:hAnsi="Times New Roman"/>
          <w:sz w:val="22"/>
        </w:rPr>
        <w:t>Construct a robust, leakage-free scikit-learn ColumnTransformer pipeline incorporating numerical standardization (StandardScaler) and categorical one-hot encoding (OneHotEncoder).</w:t>
      </w:r>
    </w:p>
    <w:p>
      <w:pPr>
        <w:pStyle w:val="ListBullet"/>
        <w:spacing w:before="20" w:after="60" w:line="276" w:lineRule="auto"/>
        <w:jc w:val="both"/>
      </w:pPr>
      <w:r>
        <w:rPr>
          <w:rFonts w:ascii="Times New Roman" w:hAnsi="Times New Roman"/>
          <w:b/>
          <w:sz w:val="22"/>
        </w:rPr>
        <w:t xml:space="preserve">3. Multi-Model Benchmarking: </w:t>
      </w:r>
      <w:r>
        <w:rPr>
          <w:rFonts w:ascii="Times New Roman" w:hAnsi="Times New Roman"/>
          <w:sz w:val="22"/>
        </w:rPr>
        <w:t>Implement, train, and compare three distinct machine learning classifiers: Random Forest Classifier, Support Vector Machine (SVC with RBF kernel), and Gradient Boosting Classifier under 5-fold stratified cross-validation.</w:t>
      </w:r>
    </w:p>
    <w:p>
      <w:pPr>
        <w:pStyle w:val="ListBullet"/>
        <w:spacing w:before="20" w:after="60" w:line="276" w:lineRule="auto"/>
        <w:jc w:val="both"/>
      </w:pPr>
      <w:r>
        <w:rPr>
          <w:rFonts w:ascii="Times New Roman" w:hAnsi="Times New Roman"/>
          <w:b/>
          <w:sz w:val="22"/>
        </w:rPr>
        <w:t xml:space="preserve">4. Systematic Hyperparameter Tuning: </w:t>
      </w:r>
      <w:r>
        <w:rPr>
          <w:rFonts w:ascii="Times New Roman" w:hAnsi="Times New Roman"/>
          <w:sz w:val="22"/>
        </w:rPr>
        <w:t>Select the superior baseline classifier and conduct hyperparameter optimization via GridSearchCV to enhance generalization capability on unseen test instances.</w:t>
      </w:r>
    </w:p>
    <w:p>
      <w:pPr>
        <w:pStyle w:val="ListBullet"/>
        <w:spacing w:before="20" w:after="60" w:line="276" w:lineRule="auto"/>
        <w:jc w:val="both"/>
      </w:pPr>
      <w:r>
        <w:rPr>
          <w:rFonts w:ascii="Times New Roman" w:hAnsi="Times New Roman"/>
          <w:b/>
          <w:sz w:val="22"/>
        </w:rPr>
        <w:t xml:space="preserve">5. Comprehensive Statistical Evaluation: </w:t>
      </w:r>
      <w:r>
        <w:rPr>
          <w:rFonts w:ascii="Times New Roman" w:hAnsi="Times New Roman"/>
          <w:sz w:val="22"/>
        </w:rPr>
        <w:t>Evaluate models on a held-out test split (20%) using weighted Precision, Recall, F1-Score, Overall Accuracy, and Confusion Matrix heatmaps.</w:t>
      </w:r>
    </w:p>
    <w:p>
      <w:pPr>
        <w:pStyle w:val="ListBullet"/>
        <w:spacing w:before="20" w:after="60" w:line="276" w:lineRule="auto"/>
        <w:jc w:val="both"/>
      </w:pPr>
      <w:r>
        <w:rPr>
          <w:rFonts w:ascii="Times New Roman" w:hAnsi="Times New Roman"/>
          <w:b/>
          <w:sz w:val="22"/>
        </w:rPr>
        <w:t xml:space="preserve">6. Serialization and Deployment: </w:t>
      </w:r>
      <w:r>
        <w:rPr>
          <w:rFonts w:ascii="Times New Roman" w:hAnsi="Times New Roman"/>
          <w:sz w:val="22"/>
        </w:rPr>
        <w:t>Serialize the fitted preprocessing pipeline and optimal model weights via Joblib, and build a feature-rich, responsive Streamlit dashboard for real-time user inference.</w:t>
      </w:r>
    </w:p>
    <w:p>
      <w:pPr>
        <w:pStyle w:val="ListBullet"/>
        <w:spacing w:before="20" w:after="60" w:line="276" w:lineRule="auto"/>
        <w:jc w:val="both"/>
      </w:pPr>
      <w:r>
        <w:rPr>
          <w:rFonts w:ascii="Times New Roman" w:hAnsi="Times New Roman"/>
          <w:b/>
          <w:sz w:val="22"/>
        </w:rPr>
        <w:t xml:space="preserve">7. Automated Verification: </w:t>
      </w:r>
      <w:r>
        <w:rPr>
          <w:rFonts w:ascii="Times New Roman" w:hAnsi="Times New Roman"/>
          <w:sz w:val="22"/>
        </w:rPr>
        <w:t>Author and execute an automated unit test suite (32 tests via pytest) verifying data transformations, pipeline invariants, and inference validity.</w:t>
      </w:r>
    </w:p>
    <w:p>
      <w:pPr>
        <w:keepNext/>
        <w:spacing w:before="200" w:after="80"/>
      </w:pPr>
      <w:r>
        <w:rPr>
          <w:rFonts w:ascii="Times New Roman" w:hAnsi="Times New Roman"/>
          <w:b/>
          <w:color w:val="002060"/>
          <w:sz w:val="24"/>
        </w:rPr>
        <w:t>1.5 Project Scope and Boundaries</w:t>
      </w:r>
    </w:p>
    <w:p>
      <w:pPr>
        <w:spacing w:before="0" w:after="120" w:line="276" w:lineRule="auto"/>
        <w:jc w:val="both"/>
      </w:pPr>
      <w:r>
        <w:rPr>
          <w:rFonts w:ascii="Times New Roman" w:hAnsi="Times New Roman"/>
          <w:color w:val="141414"/>
          <w:sz w:val="22"/>
        </w:rPr>
        <w:t>Scope: The project encompasses the complete data science lifecycle, from data ingestion to model deployment and automated testing. It provides actionable advisory intelligence by generating tailored academic recommendations based on predicted risk tiers.</w:t>
        <w:br/>
        <w:br/>
        <w:t>Boundaries &amp; Limitations: The system is trained on secondary school data from Portuguese institutions (Cortez &amp; Silva, 2008). Consequently, cultural, institutional, and grading variations may influence direct transferability to collegiate engineering environments without domain adaptation. Furthermore, predictions represent probabilistic statistical estimates based on historical correlation, not absolute deterministic verdicts. They must be utilized strictly as decision-support signals by human educators.</w:t>
      </w:r>
    </w:p>
    <w:p>
      <w:r>
        <w:br w:type="page"/>
      </w:r>
    </w:p>
    <w:p>
      <w:pPr>
        <w:keepNext/>
        <w:spacing w:before="280" w:after="120"/>
      </w:pPr>
      <w:r>
        <w:rPr>
          <w:rFonts w:ascii="Times New Roman" w:hAnsi="Times New Roman"/>
          <w:b/>
          <w:color w:val="1F497D"/>
          <w:sz w:val="28"/>
        </w:rPr>
        <w:t>CHAPTER 2: DATASET COLLECTION AND CHARACTERIZATION</w:t>
      </w:r>
    </w:p>
    <w:p>
      <w:pPr>
        <w:keepNext/>
        <w:spacing w:before="200" w:after="80"/>
      </w:pPr>
      <w:r>
        <w:rPr>
          <w:rFonts w:ascii="Times New Roman" w:hAnsi="Times New Roman"/>
          <w:b/>
          <w:color w:val="002060"/>
          <w:sz w:val="24"/>
        </w:rPr>
        <w:t>2.1 Dataset Source and Acquisition Protocol</w:t>
      </w:r>
    </w:p>
    <w:p>
      <w:pPr>
        <w:spacing w:before="0" w:after="120" w:line="276" w:lineRule="auto"/>
        <w:jc w:val="both"/>
      </w:pPr>
      <w:r>
        <w:rPr>
          <w:rFonts w:ascii="Times New Roman" w:hAnsi="Times New Roman"/>
          <w:color w:val="141414"/>
          <w:sz w:val="22"/>
        </w:rPr>
        <w:t>The project employs the official, peer-reviewed Student Performance Data Set hosted by the University of California, Irvine (UCI) Machine Learning Repository (Cortez and Silva, 2008). The dataset was collected across two public secondary schools in Portugal: Gabriel Pereira (GP) and Mousinho da Silveira (MS). Data acquisition utilized official school administration records combined with structured student survey questionnaires.</w:t>
        <w:br/>
        <w:br/>
        <w:t>The repository contains two distinct subject domains: Mathematics (student-mat.csv) and Portuguese language (student-por.csv). In strict compliance with academic standards, this project utilizes student-mat.csv, consisting of exactly 395 student instances and 33 attributes (32 predictive features and 1 continuous ground-truth target variable G3). Semicolons (;) serve as the field delimiters.</w:t>
      </w:r>
    </w:p>
    <w:p>
      <w:pPr>
        <w:keepNext/>
        <w:spacing w:before="200" w:after="80"/>
      </w:pPr>
      <w:r>
        <w:rPr>
          <w:rFonts w:ascii="Times New Roman" w:hAnsi="Times New Roman"/>
          <w:b/>
          <w:color w:val="002060"/>
          <w:sz w:val="24"/>
        </w:rPr>
        <w:t>2.2 Target Variable Formulation</w:t>
      </w:r>
    </w:p>
    <w:p>
      <w:pPr>
        <w:spacing w:before="0" w:after="120" w:line="276" w:lineRule="auto"/>
        <w:jc w:val="both"/>
      </w:pPr>
      <w:r>
        <w:rPr>
          <w:rFonts w:ascii="Times New Roman" w:hAnsi="Times New Roman"/>
          <w:color w:val="141414"/>
          <w:sz w:val="22"/>
        </w:rPr>
        <w:t>The raw target attribute in the dataset is G3, an integer score ranging from 0 to 20 representing the student's final cumulative grade. To satisfy the academic intervention requirement of AIML Assignment No. 12—namely, the identification of students requiring urgent remedial academic support—G3 is transformed into a 3-class discrete ordinal target variable Y in {'Low', 'Medium', 'High'}. Table 2.1 delineates the mathematical categorization thresholds, empirical instance counts, and corresponding academic risk levels: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Category</w:t>
            </w:r>
          </w:p>
        </w:tc>
        <w:tc>
          <w:tcPr>
            <w:tcW w:type="dxa" w:w="1728"/>
            <w:shd w:fill="1F497D"/>
            <w:tcMar>
              <w:top w:w="120" w:type="dxa"/>
              <w:bottom w:w="120" w:type="dxa"/>
              <w:left w:w="140" w:type="dxa"/>
              <w:right w:w="140" w:type="dxa"/>
            </w:tcMar>
          </w:tcPr>
          <w:p>
            <w:pPr>
              <w:jc w:val="center"/>
            </w:pPr>
            <w:r>
              <w:rPr>
                <w:rFonts w:ascii="Times New Roman" w:hAnsi="Times New Roman"/>
                <w:b/>
                <w:color w:val="FFFFFF"/>
                <w:sz w:val="20"/>
              </w:rPr>
              <w:t>Grade Range (G3)</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Dataset Count</w:t>
            </w:r>
          </w:p>
        </w:tc>
        <w:tc>
          <w:tcPr>
            <w:tcW w:type="dxa" w:w="1728"/>
            <w:shd w:fill="1F497D"/>
            <w:tcMar>
              <w:top w:w="120" w:type="dxa"/>
              <w:bottom w:w="120" w:type="dxa"/>
              <w:left w:w="140" w:type="dxa"/>
              <w:right w:w="140" w:type="dxa"/>
            </w:tcMar>
          </w:tcPr>
          <w:p>
            <w:pPr>
              <w:jc w:val="center"/>
            </w:pPr>
            <w:r>
              <w:rPr>
                <w:rFonts w:ascii="Times New Roman" w:hAnsi="Times New Roman"/>
                <w:b/>
                <w:color w:val="FFFFFF"/>
                <w:sz w:val="20"/>
              </w:rPr>
              <w:t>Class Percentage</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0"/>
              </w:rPr>
              <w:t>Assigned Academic Risk Level</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Low</w:t>
            </w:r>
          </w:p>
        </w:tc>
        <w:tc>
          <w:tcPr>
            <w:tcW w:type="dxa" w:w="1728"/>
            <w:shd w:fill="FFFFFF"/>
            <w:tcMar>
              <w:top w:w="80" w:type="dxa"/>
              <w:bottom w:w="80" w:type="dxa"/>
              <w:left w:w="120" w:type="dxa"/>
              <w:right w:w="120" w:type="dxa"/>
            </w:tcMar>
          </w:tcPr>
          <w:p>
            <w:pPr>
              <w:jc w:val="center"/>
            </w:pPr>
            <w:r>
              <w:rPr>
                <w:rFonts w:ascii="Times New Roman" w:hAnsi="Times New Roman"/>
                <w:color w:val="282828"/>
                <w:sz w:val="19"/>
              </w:rPr>
              <w:t>0 to 9</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130</w:t>
            </w:r>
          </w:p>
        </w:tc>
        <w:tc>
          <w:tcPr>
            <w:tcW w:type="dxa" w:w="1728"/>
            <w:shd w:fill="FFFFFF"/>
            <w:tcMar>
              <w:top w:w="80" w:type="dxa"/>
              <w:bottom w:w="80" w:type="dxa"/>
              <w:left w:w="120" w:type="dxa"/>
              <w:right w:w="120" w:type="dxa"/>
            </w:tcMar>
          </w:tcPr>
          <w:p>
            <w:pPr>
              <w:jc w:val="center"/>
            </w:pPr>
            <w:r>
              <w:rPr>
                <w:rFonts w:ascii="Times New Roman" w:hAnsi="Times New Roman"/>
                <w:color w:val="282828"/>
                <w:sz w:val="19"/>
              </w:rPr>
              <w:t>32.91%</w:t>
            </w:r>
          </w:p>
        </w:tc>
        <w:tc>
          <w:tcPr>
            <w:tcW w:type="dxa" w:w="3312"/>
            <w:shd w:fill="FFFFFF"/>
            <w:tcMar>
              <w:top w:w="80" w:type="dxa"/>
              <w:bottom w:w="80" w:type="dxa"/>
              <w:left w:w="120" w:type="dxa"/>
              <w:right w:w="120" w:type="dxa"/>
            </w:tcMar>
          </w:tcPr>
          <w:p>
            <w:pPr>
              <w:jc w:val="center"/>
            </w:pPr>
            <w:r>
              <w:rPr>
                <w:rFonts w:ascii="Times New Roman" w:hAnsi="Times New Roman"/>
                <w:color w:val="282828"/>
                <w:sz w:val="19"/>
              </w:rPr>
              <w:t>High Risk — Requires Immediate Academic Intervention</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Medium</w:t>
            </w:r>
          </w:p>
        </w:tc>
        <w:tc>
          <w:tcPr>
            <w:tcW w:type="dxa" w:w="1728"/>
            <w:shd w:fill="F2F5F8"/>
            <w:tcMar>
              <w:top w:w="80" w:type="dxa"/>
              <w:bottom w:w="80" w:type="dxa"/>
              <w:left w:w="120" w:type="dxa"/>
              <w:right w:w="120" w:type="dxa"/>
            </w:tcMar>
          </w:tcPr>
          <w:p>
            <w:pPr>
              <w:jc w:val="center"/>
            </w:pPr>
            <w:r>
              <w:rPr>
                <w:rFonts w:ascii="Times New Roman" w:hAnsi="Times New Roman"/>
                <w:color w:val="282828"/>
                <w:sz w:val="19"/>
              </w:rPr>
              <w:t>10 to 14</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192</w:t>
            </w:r>
          </w:p>
        </w:tc>
        <w:tc>
          <w:tcPr>
            <w:tcW w:type="dxa" w:w="1728"/>
            <w:shd w:fill="F2F5F8"/>
            <w:tcMar>
              <w:top w:w="80" w:type="dxa"/>
              <w:bottom w:w="80" w:type="dxa"/>
              <w:left w:w="120" w:type="dxa"/>
              <w:right w:w="120" w:type="dxa"/>
            </w:tcMar>
          </w:tcPr>
          <w:p>
            <w:pPr>
              <w:jc w:val="center"/>
            </w:pPr>
            <w:r>
              <w:rPr>
                <w:rFonts w:ascii="Times New Roman" w:hAnsi="Times New Roman"/>
                <w:color w:val="282828"/>
                <w:sz w:val="19"/>
              </w:rPr>
              <w:t>48.61%</w:t>
            </w:r>
          </w:p>
        </w:tc>
        <w:tc>
          <w:tcPr>
            <w:tcW w:type="dxa" w:w="3312"/>
            <w:shd w:fill="F2F5F8"/>
            <w:tcMar>
              <w:top w:w="80" w:type="dxa"/>
              <w:bottom w:w="80" w:type="dxa"/>
              <w:left w:w="120" w:type="dxa"/>
              <w:right w:w="120" w:type="dxa"/>
            </w:tcMar>
          </w:tcPr>
          <w:p>
            <w:pPr>
              <w:jc w:val="center"/>
            </w:pPr>
            <w:r>
              <w:rPr>
                <w:rFonts w:ascii="Times New Roman" w:hAnsi="Times New Roman"/>
                <w:color w:val="282828"/>
                <w:sz w:val="19"/>
              </w:rPr>
              <w:t>Moderate Risk — Satisfactory; Target Remedial Coaching</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High</w:t>
            </w:r>
          </w:p>
        </w:tc>
        <w:tc>
          <w:tcPr>
            <w:tcW w:type="dxa" w:w="1728"/>
            <w:shd w:fill="FFFFFF"/>
            <w:tcMar>
              <w:top w:w="80" w:type="dxa"/>
              <w:bottom w:w="80" w:type="dxa"/>
              <w:left w:w="120" w:type="dxa"/>
              <w:right w:w="120" w:type="dxa"/>
            </w:tcMar>
          </w:tcPr>
          <w:p>
            <w:pPr>
              <w:jc w:val="center"/>
            </w:pPr>
            <w:r>
              <w:rPr>
                <w:rFonts w:ascii="Times New Roman" w:hAnsi="Times New Roman"/>
                <w:color w:val="282828"/>
                <w:sz w:val="19"/>
              </w:rPr>
              <w:t>15 to 20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73</w:t>
            </w:r>
          </w:p>
        </w:tc>
        <w:tc>
          <w:tcPr>
            <w:tcW w:type="dxa" w:w="1728"/>
            <w:shd w:fill="FFFFFF"/>
            <w:tcMar>
              <w:top w:w="80" w:type="dxa"/>
              <w:bottom w:w="80" w:type="dxa"/>
              <w:left w:w="120" w:type="dxa"/>
              <w:right w:w="120" w:type="dxa"/>
            </w:tcMar>
          </w:tcPr>
          <w:p>
            <w:pPr>
              <w:jc w:val="center"/>
            </w:pPr>
            <w:r>
              <w:rPr>
                <w:rFonts w:ascii="Times New Roman" w:hAnsi="Times New Roman"/>
                <w:color w:val="282828"/>
                <w:sz w:val="19"/>
              </w:rPr>
              <w:t>18.48%</w:t>
            </w:r>
          </w:p>
        </w:tc>
        <w:tc>
          <w:tcPr>
            <w:tcW w:type="dxa" w:w="3312"/>
            <w:shd w:fill="FFFFFF"/>
            <w:tcMar>
              <w:top w:w="80" w:type="dxa"/>
              <w:bottom w:w="80" w:type="dxa"/>
              <w:left w:w="120" w:type="dxa"/>
              <w:right w:w="120" w:type="dxa"/>
            </w:tcMar>
          </w:tcPr>
          <w:p>
            <w:pPr>
              <w:jc w:val="center"/>
            </w:pPr>
            <w:r>
              <w:rPr>
                <w:rFonts w:ascii="Times New Roman" w:hAnsi="Times New Roman"/>
                <w:color w:val="282828"/>
                <w:sz w:val="19"/>
              </w:rPr>
              <w:t>Low Risk — Superior Performance; Advanced Mentorship</w:t>
            </w:r>
          </w:p>
        </w:tc>
      </w:tr>
    </w:tbl>
    <w:p/>
    <w:p>
      <w:pPr>
        <w:spacing w:before="160" w:after="80"/>
        <w:jc w:val="center"/>
      </w:pPr>
      <w:r>
        <w:drawing>
          <wp:inline xmlns:a="http://schemas.openxmlformats.org/drawingml/2006/main" xmlns:pic="http://schemas.openxmlformats.org/drawingml/2006/picture">
            <wp:extent cx="4572000" cy="2836727"/>
            <wp:docPr id="1" name="Picture 1"/>
            <wp:cNvGraphicFramePr>
              <a:graphicFrameLocks noChangeAspect="1"/>
            </wp:cNvGraphicFramePr>
            <a:graphic>
              <a:graphicData uri="http://schemas.openxmlformats.org/drawingml/2006/picture">
                <pic:pic>
                  <pic:nvPicPr>
                    <pic:cNvPr id="0" name="grade_distribution.png"/>
                    <pic:cNvPicPr/>
                  </pic:nvPicPr>
                  <pic:blipFill>
                    <a:blip r:embed="rId9"/>
                    <a:stretch>
                      <a:fillRect/>
                    </a:stretch>
                  </pic:blipFill>
                  <pic:spPr>
                    <a:xfrm>
                      <a:off x="0" y="0"/>
                      <a:ext cx="4572000" cy="2836727"/>
                    </a:xfrm>
                    <a:prstGeom prst="rect"/>
                  </pic:spPr>
                </pic:pic>
              </a:graphicData>
            </a:graphic>
          </wp:inline>
        </w:drawing>
      </w:r>
    </w:p>
    <w:p>
      <w:pPr>
        <w:spacing w:before="40" w:after="200"/>
        <w:jc w:val="center"/>
      </w:pPr>
      <w:r>
        <w:rPr>
          <w:rFonts w:ascii="Times New Roman" w:hAnsi="Times New Roman"/>
          <w:b/>
          <w:i/>
          <w:color w:val="3C3C3C"/>
          <w:sz w:val="20"/>
        </w:rPr>
        <w:t>Figure 2.1: Class Distribution of Student Performance Categories (G3)</w:t>
      </w:r>
    </w:p>
    <w:p>
      <w:pPr>
        <w:keepNext/>
        <w:spacing w:before="200" w:after="80"/>
      </w:pPr>
      <w:r>
        <w:rPr>
          <w:rFonts w:ascii="Times New Roman" w:hAnsi="Times New Roman"/>
          <w:b/>
          <w:color w:val="002060"/>
          <w:sz w:val="24"/>
        </w:rPr>
        <w:t>2.3 Comprehensive Feature Catalog and Attributes</w:t>
      </w:r>
    </w:p>
    <w:p>
      <w:pPr>
        <w:spacing w:before="0" w:after="120" w:line="276" w:lineRule="auto"/>
        <w:jc w:val="both"/>
      </w:pPr>
      <w:r>
        <w:rPr>
          <w:rFonts w:ascii="Times New Roman" w:hAnsi="Times New Roman"/>
          <w:color w:val="141414"/>
          <w:sz w:val="22"/>
        </w:rPr>
        <w:t>The feature matrix comprises 32 independent variables categorized into socio-demographic indicators, family background, academic commitments, lifestyle/health choices, and formative period grades (G1, G2). Table 2.2 provides the authoritative catalog:</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Feature</w:t>
            </w:r>
          </w:p>
        </w:tc>
        <w:tc>
          <w:tcPr>
            <w:tcW w:type="dxa" w:w="2016"/>
            <w:shd w:fill="1F497D"/>
            <w:tcMar>
              <w:top w:w="120" w:type="dxa"/>
              <w:bottom w:w="120" w:type="dxa"/>
              <w:left w:w="140" w:type="dxa"/>
              <w:right w:w="140" w:type="dxa"/>
            </w:tcMar>
          </w:tcPr>
          <w:p>
            <w:pPr>
              <w:jc w:val="center"/>
            </w:pPr>
            <w:r>
              <w:rPr>
                <w:rFonts w:ascii="Times New Roman" w:hAnsi="Times New Roman"/>
                <w:b/>
                <w:color w:val="FFFFFF"/>
                <w:sz w:val="20"/>
              </w:rPr>
              <w:t>Data Type</w:t>
            </w:r>
          </w:p>
        </w:tc>
        <w:tc>
          <w:tcPr>
            <w:tcW w:type="dxa" w:w="2592"/>
            <w:shd w:fill="1F497D"/>
            <w:tcMar>
              <w:top w:w="120" w:type="dxa"/>
              <w:bottom w:w="120" w:type="dxa"/>
              <w:left w:w="140" w:type="dxa"/>
              <w:right w:w="140" w:type="dxa"/>
            </w:tcMar>
          </w:tcPr>
          <w:p>
            <w:pPr>
              <w:jc w:val="center"/>
            </w:pPr>
            <w:r>
              <w:rPr>
                <w:rFonts w:ascii="Times New Roman" w:hAnsi="Times New Roman"/>
                <w:b/>
                <w:color w:val="FFFFFF"/>
                <w:sz w:val="20"/>
              </w:rPr>
              <w:t>Value Domain / Scale</w:t>
            </w:r>
          </w:p>
        </w:tc>
        <w:tc>
          <w:tcPr>
            <w:tcW w:type="dxa" w:w="3744"/>
            <w:shd w:fill="1F497D"/>
            <w:tcMar>
              <w:top w:w="120" w:type="dxa"/>
              <w:bottom w:w="120" w:type="dxa"/>
              <w:left w:w="140" w:type="dxa"/>
              <w:right w:w="140" w:type="dxa"/>
            </w:tcMar>
          </w:tcPr>
          <w:p>
            <w:pPr>
              <w:jc w:val="center"/>
            </w:pPr>
            <w:r>
              <w:rPr>
                <w:rFonts w:ascii="Times New Roman" w:hAnsi="Times New Roman"/>
                <w:b/>
                <w:color w:val="FFFFFF"/>
                <w:sz w:val="20"/>
              </w:rPr>
              <w:t>Feature Description</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school</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(Nominal)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{GP, MS}</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Student's school (Gabriel Pereira or Mousinho da Silveira)</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sex</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{F, M}</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Student's biological sex (Female or Male)</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age</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(Discrete)</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15 to 22</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Age of student in years</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address</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{U, R}</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Home location type (Urban or Rural)</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famsize</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{LE3, GT3}</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Family size (&lt;= 3 members or &gt; 3 members)</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Pstatus</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{T, A}</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Parental cohabitation status (Living Together or Apart)</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Medu</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0 to 4</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Mother's education (0: none, 1: 4th, 2: 5-9th, 3: secondary, 4: higher)</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Fedu</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0 to 4</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Father's education (same ordinal scale as Medu)</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Mjob</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(Nominal)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{teacher, health, services, at_home, other}</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Mother's employment sector</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Fjob</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(Nominal)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{teacher, health, services, at_home, other}</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Father's employment sector</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reason</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(Nominal)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{home, reputation, course, other}</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Reason for choosing school</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guardian</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(Nominal)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{mother, father, other}</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Student's legal guardian</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traveltime</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1 to 4</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Commute time (1: &lt;15m, 2: 15-30m, 3: 30-60m, 4: &gt;60m)</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studytime</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1 to 4</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Weekly study time (1: &lt;2h, 2: 2-5h, 3: 5-10h, 4: &gt;10h)</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failures</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(Discrete)</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0 to 4</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Number of past academic class failures</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schoolsup</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Extra educational support from school</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famsup</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Family educational support</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paid</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Extra paid tuition classes in math</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activities</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Participation in extra-curricular activities</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nursery</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Attended nursery preschool</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higher</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Aspires to pursue higher collegiate education</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internet</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Internet accessibility at home</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romantic</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Categorical (Binary)</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{yes, no}</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Involved in a romantic relationship</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famrel</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1 to 5</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Quality of family relationships (1: very bad to 5: excellent)</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freetime</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1 to 5</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Free time after school (1: very low to 5: very high)</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goout</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1 to 5</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Frequency of going out with friends (1: very low to 5: very high)</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Dalc</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1 to 5</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Workday alcohol consumption (1: very low to 5: very high)</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Walc</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1 to 5</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Weekend alcohol consumption (1: very low to 5: very high)</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health</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(Ordinal)</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1 to 5</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Current physical health status (1: very bad to 5: very good)</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absences</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(Discrete)</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0 to 93</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Total count of school absences</w:t>
            </w:r>
          </w:p>
        </w:tc>
      </w:tr>
      <w:tr>
        <w:tc>
          <w:tcPr>
            <w:tcW w:type="dxa" w:w="1440"/>
            <w:shd w:fill="FFFFFF"/>
            <w:tcMar>
              <w:top w:w="80" w:type="dxa"/>
              <w:bottom w:w="80" w:type="dxa"/>
              <w:left w:w="120" w:type="dxa"/>
              <w:right w:w="120" w:type="dxa"/>
            </w:tcMar>
          </w:tcPr>
          <w:p>
            <w:pPr>
              <w:jc w:val="left"/>
            </w:pPr>
            <w:r>
              <w:rPr>
                <w:rFonts w:ascii="Times New Roman" w:hAnsi="Times New Roman"/>
                <w:color w:val="282828"/>
                <w:sz w:val="19"/>
              </w:rPr>
              <w:t>G1</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Numerical (Discrete)</w:t>
            </w:r>
          </w:p>
        </w:tc>
        <w:tc>
          <w:tcPr>
            <w:tcW w:type="dxa" w:w="2592"/>
            <w:shd w:fill="FFFFFF"/>
            <w:tcMar>
              <w:top w:w="80" w:type="dxa"/>
              <w:bottom w:w="80" w:type="dxa"/>
              <w:left w:w="120" w:type="dxa"/>
              <w:right w:w="120" w:type="dxa"/>
            </w:tcMar>
          </w:tcPr>
          <w:p>
            <w:pPr>
              <w:jc w:val="center"/>
            </w:pPr>
            <w:r>
              <w:rPr>
                <w:rFonts w:ascii="Times New Roman" w:hAnsi="Times New Roman"/>
                <w:color w:val="282828"/>
                <w:sz w:val="19"/>
              </w:rPr>
              <w:t>0 to 20</w:t>
            </w:r>
          </w:p>
        </w:tc>
        <w:tc>
          <w:tcPr>
            <w:tcW w:type="dxa" w:w="3744"/>
            <w:shd w:fill="FFFFFF"/>
            <w:tcMar>
              <w:top w:w="80" w:type="dxa"/>
              <w:bottom w:w="80" w:type="dxa"/>
              <w:left w:w="120" w:type="dxa"/>
              <w:right w:w="120" w:type="dxa"/>
            </w:tcMar>
          </w:tcPr>
          <w:p>
            <w:pPr>
              <w:jc w:val="center"/>
            </w:pPr>
            <w:r>
              <w:rPr>
                <w:rFonts w:ascii="Times New Roman" w:hAnsi="Times New Roman"/>
                <w:color w:val="282828"/>
                <w:sz w:val="19"/>
              </w:rPr>
              <w:t>First period formative grade (Mathematics)</w:t>
            </w:r>
          </w:p>
        </w:tc>
      </w:tr>
      <w:tr>
        <w:tc>
          <w:tcPr>
            <w:tcW w:type="dxa" w:w="1440"/>
            <w:shd w:fill="F2F5F8"/>
            <w:tcMar>
              <w:top w:w="80" w:type="dxa"/>
              <w:bottom w:w="80" w:type="dxa"/>
              <w:left w:w="120" w:type="dxa"/>
              <w:right w:w="120" w:type="dxa"/>
            </w:tcMar>
          </w:tcPr>
          <w:p>
            <w:pPr>
              <w:jc w:val="left"/>
            </w:pPr>
            <w:r>
              <w:rPr>
                <w:rFonts w:ascii="Times New Roman" w:hAnsi="Times New Roman"/>
                <w:color w:val="282828"/>
                <w:sz w:val="19"/>
              </w:rPr>
              <w:t>G2</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Numerical (Discrete)</w:t>
            </w:r>
          </w:p>
        </w:tc>
        <w:tc>
          <w:tcPr>
            <w:tcW w:type="dxa" w:w="2592"/>
            <w:shd w:fill="F2F5F8"/>
            <w:tcMar>
              <w:top w:w="80" w:type="dxa"/>
              <w:bottom w:w="80" w:type="dxa"/>
              <w:left w:w="120" w:type="dxa"/>
              <w:right w:w="120" w:type="dxa"/>
            </w:tcMar>
          </w:tcPr>
          <w:p>
            <w:pPr>
              <w:jc w:val="center"/>
            </w:pPr>
            <w:r>
              <w:rPr>
                <w:rFonts w:ascii="Times New Roman" w:hAnsi="Times New Roman"/>
                <w:color w:val="282828"/>
                <w:sz w:val="19"/>
              </w:rPr>
              <w:t>0 to 20</w:t>
            </w:r>
          </w:p>
        </w:tc>
        <w:tc>
          <w:tcPr>
            <w:tcW w:type="dxa" w:w="3744"/>
            <w:shd w:fill="F2F5F8"/>
            <w:tcMar>
              <w:top w:w="80" w:type="dxa"/>
              <w:bottom w:w="80" w:type="dxa"/>
              <w:left w:w="120" w:type="dxa"/>
              <w:right w:w="120" w:type="dxa"/>
            </w:tcMar>
          </w:tcPr>
          <w:p>
            <w:pPr>
              <w:jc w:val="center"/>
            </w:pPr>
            <w:r>
              <w:rPr>
                <w:rFonts w:ascii="Times New Roman" w:hAnsi="Times New Roman"/>
                <w:color w:val="282828"/>
                <w:sz w:val="19"/>
              </w:rPr>
              <w:t>Second period formative grade (Mathematics)</w:t>
            </w:r>
          </w:p>
        </w:tc>
      </w:tr>
    </w:tbl>
    <w:p/>
    <w:p>
      <w:pPr>
        <w:keepNext/>
        <w:spacing w:before="200" w:after="80"/>
      </w:pPr>
      <w:r>
        <w:rPr>
          <w:rFonts w:ascii="Times New Roman" w:hAnsi="Times New Roman"/>
          <w:b/>
          <w:color w:val="002060"/>
          <w:sz w:val="24"/>
        </w:rPr>
        <w:t>2.4 Dataset Summary Statistics and Constraints</w:t>
      </w:r>
    </w:p>
    <w:p>
      <w:pPr>
        <w:spacing w:before="0" w:after="120" w:line="276" w:lineRule="auto"/>
        <w:jc w:val="both"/>
      </w:pPr>
      <w:r>
        <w:rPr>
          <w:rFonts w:ascii="Times New Roman" w:hAnsi="Times New Roman"/>
          <w:color w:val="141414"/>
          <w:sz w:val="22"/>
        </w:rPr>
        <w:t>A rigorous preliminary programmatic inspection via Pandas verified that the raw dataset contains exactly 395 rows and 33 columns, with exactly zero missing (null or NaN) values across all columns. There are zero duplicated records. The continuous target G3 has a sample mean of 10.42, standard deviation of 4.58, minimum of 0, and maximum of 20. The formative grades G1 and G2 correlate strongly with G3 (Pearson r &gt; 0.80), demonstrating that longitudinal academic history is the primary predictive foundation.</w:t>
      </w:r>
    </w:p>
    <w:p>
      <w:r>
        <w:br w:type="page"/>
      </w:r>
    </w:p>
    <w:p>
      <w:pPr>
        <w:keepNext/>
        <w:spacing w:before="280" w:after="120"/>
      </w:pPr>
      <w:r>
        <w:rPr>
          <w:rFonts w:ascii="Times New Roman" w:hAnsi="Times New Roman"/>
          <w:b/>
          <w:color w:val="1F497D"/>
          <w:sz w:val="28"/>
        </w:rPr>
        <w:t>CHAPTER 3: METHODOLOGY AND DATA PREPROCESSING</w:t>
      </w:r>
    </w:p>
    <w:p>
      <w:pPr>
        <w:keepNext/>
        <w:spacing w:before="200" w:after="80"/>
      </w:pPr>
      <w:r>
        <w:rPr>
          <w:rFonts w:ascii="Times New Roman" w:hAnsi="Times New Roman"/>
          <w:b/>
          <w:color w:val="002060"/>
          <w:sz w:val="24"/>
        </w:rPr>
        <w:t>3.1 Data Cleaning and Imputation Strategy</w:t>
      </w:r>
    </w:p>
    <w:p>
      <w:pPr>
        <w:spacing w:before="0" w:after="120" w:line="276" w:lineRule="auto"/>
        <w:jc w:val="both"/>
      </w:pPr>
      <w:r>
        <w:rPr>
          <w:rFonts w:ascii="Times New Roman" w:hAnsi="Times New Roman"/>
          <w:color w:val="141414"/>
          <w:sz w:val="22"/>
        </w:rPr>
        <w:t>Although the benchmark UCI dataset exhibits complete observations, production systems must implement defensive data hygiene. In src/preprocessing.py, the clean_data() routine incorporates automated anomaly detection, boundary verification, and adaptive imputation. Any future missing numerical entries are imputed using the column-wise median (to resist outlier skewness), whereas categorical missing values are imputed using the statistical mode. Exact duplicate rows are detected and pruned, and G3 values are bounded strictly within the [0, 20] range.</w:t>
      </w:r>
    </w:p>
    <w:p>
      <w:pPr>
        <w:keepNext/>
        <w:spacing w:before="200" w:after="80"/>
      </w:pPr>
      <w:r>
        <w:rPr>
          <w:rFonts w:ascii="Times New Roman" w:hAnsi="Times New Roman"/>
          <w:b/>
          <w:color w:val="002060"/>
          <w:sz w:val="24"/>
        </w:rPr>
        <w:t>3.2 Feature Transformation &amp; Encoding Pipeline</w:t>
      </w:r>
    </w:p>
    <w:p>
      <w:pPr>
        <w:spacing w:before="0" w:after="120" w:line="276" w:lineRule="auto"/>
        <w:jc w:val="both"/>
      </w:pPr>
      <w:r>
        <w:rPr>
          <w:rFonts w:ascii="Times New Roman" w:hAnsi="Times New Roman"/>
          <w:color w:val="141414"/>
          <w:sz w:val="22"/>
        </w:rPr>
        <w:t>Machine learning models require homogeneous numeric matrices. The 32 input attributes comprise 15 numerical features and 17 categorical features. Naively applying global preprocessing prior to train/test partitioning introduces catastrophic data leakage. To prevent this, we construct a scikit-learn ColumnTransformer that encapsulates transformers for both feature modalities:</w:t>
      </w:r>
    </w:p>
    <w:p>
      <w:pPr>
        <w:pStyle w:val="ListBullet"/>
        <w:spacing w:before="20" w:after="60" w:line="276" w:lineRule="auto"/>
        <w:jc w:val="both"/>
      </w:pPr>
      <w:r>
        <w:rPr>
          <w:rFonts w:ascii="Times New Roman" w:hAnsi="Times New Roman"/>
          <w:b/>
          <w:sz w:val="22"/>
        </w:rPr>
        <w:t xml:space="preserve">1. Numerical Feature Pipeline: </w:t>
      </w:r>
      <w:r>
        <w:rPr>
          <w:rFonts w:ascii="Times New Roman" w:hAnsi="Times New Roman"/>
          <w:sz w:val="22"/>
        </w:rPr>
        <w:t>Applies StandardScaler to 15 numerical attributes (age, Medu, Fedu, traveltime, studytime, failures, famrel, freetime, goout, Dalc, Walc, health, absences, G1, G2). The transformer computes mean mu and variance sigma^2 exclusively on the training split, standardizing features to zero mean and unit variance via z = (x - mu) / sigma.</w:t>
      </w:r>
    </w:p>
    <w:p>
      <w:pPr>
        <w:pStyle w:val="ListBullet"/>
        <w:spacing w:before="20" w:after="60" w:line="276" w:lineRule="auto"/>
        <w:jc w:val="both"/>
      </w:pPr>
      <w:r>
        <w:rPr>
          <w:rFonts w:ascii="Times New Roman" w:hAnsi="Times New Roman"/>
          <w:b/>
          <w:sz w:val="22"/>
        </w:rPr>
        <w:t xml:space="preserve">2. Categorical Feature Pipeline: </w:t>
      </w:r>
      <w:r>
        <w:rPr>
          <w:rFonts w:ascii="Times New Roman" w:hAnsi="Times New Roman"/>
          <w:sz w:val="22"/>
        </w:rPr>
        <w:t>Applies OneHotEncoder to 17 categorical attributes (school, sex, address, famsize, Pstatus, Mjob, Fjob, reason, guardian, schoolsup, famsup, paid, activities, nursery, higher, internet, romantic). We specify handle_unknown='ignore' and sparse_output=False. This expands categorical levels into binary indicator columns while safely ignoring unseen categories encountered during real-time user inference.</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F497D"/>
            <w:tcMar>
              <w:top w:w="120" w:type="dxa"/>
              <w:bottom w:w="120" w:type="dxa"/>
              <w:left w:w="140" w:type="dxa"/>
              <w:right w:w="140" w:type="dxa"/>
            </w:tcMar>
          </w:tcPr>
          <w:p>
            <w:pPr>
              <w:jc w:val="center"/>
            </w:pPr>
            <w:r>
              <w:rPr>
                <w:rFonts w:ascii="Times New Roman" w:hAnsi="Times New Roman"/>
                <w:b/>
                <w:color w:val="FFFFFF"/>
                <w:sz w:val="20"/>
              </w:rPr>
              <w:t>Transformer Component</w:t>
            </w:r>
          </w:p>
        </w:tc>
        <w:tc>
          <w:tcPr>
            <w:tcW w:type="dxa" w:w="2160"/>
            <w:shd w:fill="1F497D"/>
            <w:tcMar>
              <w:top w:w="120" w:type="dxa"/>
              <w:bottom w:w="120" w:type="dxa"/>
              <w:left w:w="140" w:type="dxa"/>
              <w:right w:w="140" w:type="dxa"/>
            </w:tcMar>
          </w:tcPr>
          <w:p>
            <w:pPr>
              <w:jc w:val="center"/>
            </w:pPr>
            <w:r>
              <w:rPr>
                <w:rFonts w:ascii="Times New Roman" w:hAnsi="Times New Roman"/>
                <w:b/>
                <w:color w:val="FFFFFF"/>
                <w:sz w:val="20"/>
              </w:rPr>
              <w:t>Target Features</w:t>
            </w:r>
          </w:p>
        </w:tc>
        <w:tc>
          <w:tcPr>
            <w:tcW w:type="dxa" w:w="2160"/>
            <w:shd w:fill="1F497D"/>
            <w:tcMar>
              <w:top w:w="120" w:type="dxa"/>
              <w:bottom w:w="120" w:type="dxa"/>
              <w:left w:w="140" w:type="dxa"/>
              <w:right w:w="140" w:type="dxa"/>
            </w:tcMar>
          </w:tcPr>
          <w:p>
            <w:pPr>
              <w:jc w:val="center"/>
            </w:pPr>
            <w:r>
              <w:rPr>
                <w:rFonts w:ascii="Times New Roman" w:hAnsi="Times New Roman"/>
                <w:b/>
                <w:color w:val="FFFFFF"/>
                <w:sz w:val="20"/>
              </w:rPr>
              <w:t>Algorithm</w:t>
            </w:r>
          </w:p>
        </w:tc>
        <w:tc>
          <w:tcPr>
            <w:tcW w:type="dxa" w:w="3168"/>
            <w:shd w:fill="1F497D"/>
            <w:tcMar>
              <w:top w:w="120" w:type="dxa"/>
              <w:bottom w:w="120" w:type="dxa"/>
              <w:left w:w="140" w:type="dxa"/>
              <w:right w:w="140" w:type="dxa"/>
            </w:tcMar>
          </w:tcPr>
          <w:p>
            <w:pPr>
              <w:jc w:val="center"/>
            </w:pPr>
            <w:r>
              <w:rPr>
                <w:rFonts w:ascii="Times New Roman" w:hAnsi="Times New Roman"/>
                <w:b/>
                <w:color w:val="FFFFFF"/>
                <w:sz w:val="20"/>
              </w:rPr>
              <w:t>Hyperparameters / Configuration</w:t>
            </w:r>
          </w:p>
        </w:tc>
      </w:tr>
      <w:tr>
        <w:tc>
          <w:tcPr>
            <w:tcW w:type="dxa" w:w="2160"/>
            <w:shd w:fill="FFFFFF"/>
            <w:tcMar>
              <w:top w:w="80" w:type="dxa"/>
              <w:bottom w:w="80" w:type="dxa"/>
              <w:left w:w="120" w:type="dxa"/>
              <w:right w:w="120" w:type="dxa"/>
            </w:tcMar>
          </w:tcPr>
          <w:p>
            <w:pPr>
              <w:jc w:val="left"/>
            </w:pPr>
            <w:r>
              <w:rPr>
                <w:rFonts w:ascii="Times New Roman" w:hAnsi="Times New Roman"/>
                <w:color w:val="282828"/>
                <w:sz w:val="19"/>
              </w:rPr>
              <w:t>Numerical Scaler</w:t>
            </w:r>
          </w:p>
        </w:tc>
        <w:tc>
          <w:tcPr>
            <w:tcW w:type="dxa" w:w="2160"/>
            <w:shd w:fill="FFFFFF"/>
            <w:tcMar>
              <w:top w:w="80" w:type="dxa"/>
              <w:bottom w:w="80" w:type="dxa"/>
              <w:left w:w="120" w:type="dxa"/>
              <w:right w:w="120" w:type="dxa"/>
            </w:tcMar>
          </w:tcPr>
          <w:p>
            <w:pPr>
              <w:jc w:val="center"/>
            </w:pPr>
            <w:r>
              <w:rPr>
                <w:rFonts w:ascii="Times New Roman" w:hAnsi="Times New Roman"/>
                <w:color w:val="282828"/>
                <w:sz w:val="19"/>
              </w:rPr>
              <w:t>15 Numerical Columns</w:t>
            </w:r>
          </w:p>
        </w:tc>
        <w:tc>
          <w:tcPr>
            <w:tcW w:type="dxa" w:w="2160"/>
            <w:shd w:fill="FFFFFF"/>
            <w:tcMar>
              <w:top w:w="80" w:type="dxa"/>
              <w:bottom w:w="80" w:type="dxa"/>
              <w:left w:w="120" w:type="dxa"/>
              <w:right w:w="120" w:type="dxa"/>
            </w:tcMar>
          </w:tcPr>
          <w:p>
            <w:pPr>
              <w:jc w:val="center"/>
            </w:pPr>
            <w:r>
              <w:rPr>
                <w:rFonts w:ascii="Times New Roman" w:hAnsi="Times New Roman"/>
                <w:color w:val="282828"/>
                <w:sz w:val="19"/>
              </w:rPr>
              <w:t>StandardScaler()</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with_mean=True, with_std=True</w:t>
            </w:r>
          </w:p>
        </w:tc>
      </w:tr>
      <w:tr>
        <w:tc>
          <w:tcPr>
            <w:tcW w:type="dxa" w:w="2160"/>
            <w:shd w:fill="F2F5F8"/>
            <w:tcMar>
              <w:top w:w="80" w:type="dxa"/>
              <w:bottom w:w="80" w:type="dxa"/>
              <w:left w:w="120" w:type="dxa"/>
              <w:right w:w="120" w:type="dxa"/>
            </w:tcMar>
          </w:tcPr>
          <w:p>
            <w:pPr>
              <w:jc w:val="left"/>
            </w:pPr>
            <w:r>
              <w:rPr>
                <w:rFonts w:ascii="Times New Roman" w:hAnsi="Times New Roman"/>
                <w:color w:val="282828"/>
                <w:sz w:val="19"/>
              </w:rPr>
              <w:t>Categorical Encoder</w:t>
            </w:r>
          </w:p>
        </w:tc>
        <w:tc>
          <w:tcPr>
            <w:tcW w:type="dxa" w:w="2160"/>
            <w:shd w:fill="F2F5F8"/>
            <w:tcMar>
              <w:top w:w="80" w:type="dxa"/>
              <w:bottom w:w="80" w:type="dxa"/>
              <w:left w:w="120" w:type="dxa"/>
              <w:right w:w="120" w:type="dxa"/>
            </w:tcMar>
          </w:tcPr>
          <w:p>
            <w:pPr>
              <w:jc w:val="center"/>
            </w:pPr>
            <w:r>
              <w:rPr>
                <w:rFonts w:ascii="Times New Roman" w:hAnsi="Times New Roman"/>
                <w:color w:val="282828"/>
                <w:sz w:val="19"/>
              </w:rPr>
              <w:t>17 Categorical Columns</w:t>
            </w:r>
          </w:p>
        </w:tc>
        <w:tc>
          <w:tcPr>
            <w:tcW w:type="dxa" w:w="2160"/>
            <w:shd w:fill="F2F5F8"/>
            <w:tcMar>
              <w:top w:w="80" w:type="dxa"/>
              <w:bottom w:w="80" w:type="dxa"/>
              <w:left w:w="120" w:type="dxa"/>
              <w:right w:w="120" w:type="dxa"/>
            </w:tcMar>
          </w:tcPr>
          <w:p>
            <w:pPr>
              <w:jc w:val="center"/>
            </w:pPr>
            <w:r>
              <w:rPr>
                <w:rFonts w:ascii="Times New Roman" w:hAnsi="Times New Roman"/>
                <w:color w:val="282828"/>
                <w:sz w:val="19"/>
              </w:rPr>
              <w:t>OneHotEncoder()</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handle_unknown='ignore', sparse_output=False</w:t>
            </w:r>
          </w:p>
        </w:tc>
      </w:tr>
      <w:tr>
        <w:tc>
          <w:tcPr>
            <w:tcW w:type="dxa" w:w="2160"/>
            <w:shd w:fill="FFFFFF"/>
            <w:tcMar>
              <w:top w:w="80" w:type="dxa"/>
              <w:bottom w:w="80" w:type="dxa"/>
              <w:left w:w="120" w:type="dxa"/>
              <w:right w:w="120" w:type="dxa"/>
            </w:tcMar>
          </w:tcPr>
          <w:p>
            <w:pPr>
              <w:jc w:val="left"/>
            </w:pPr>
            <w:r>
              <w:rPr>
                <w:rFonts w:ascii="Times New Roman" w:hAnsi="Times New Roman"/>
                <w:color w:val="282828"/>
                <w:sz w:val="19"/>
              </w:rPr>
              <w:t>Composite Preprocessor</w:t>
            </w:r>
          </w:p>
        </w:tc>
        <w:tc>
          <w:tcPr>
            <w:tcW w:type="dxa" w:w="2160"/>
            <w:shd w:fill="FFFFFF"/>
            <w:tcMar>
              <w:top w:w="80" w:type="dxa"/>
              <w:bottom w:w="80" w:type="dxa"/>
              <w:left w:w="120" w:type="dxa"/>
              <w:right w:w="120" w:type="dxa"/>
            </w:tcMar>
          </w:tcPr>
          <w:p>
            <w:pPr>
              <w:jc w:val="center"/>
            </w:pPr>
            <w:r>
              <w:rPr>
                <w:rFonts w:ascii="Times New Roman" w:hAnsi="Times New Roman"/>
                <w:color w:val="282828"/>
                <w:sz w:val="19"/>
              </w:rPr>
              <w:t>All 32 Features</w:t>
            </w:r>
          </w:p>
        </w:tc>
        <w:tc>
          <w:tcPr>
            <w:tcW w:type="dxa" w:w="2160"/>
            <w:shd w:fill="FFFFFF"/>
            <w:tcMar>
              <w:top w:w="80" w:type="dxa"/>
              <w:bottom w:w="80" w:type="dxa"/>
              <w:left w:w="120" w:type="dxa"/>
              <w:right w:w="120" w:type="dxa"/>
            </w:tcMar>
          </w:tcPr>
          <w:p>
            <w:pPr>
              <w:jc w:val="center"/>
            </w:pPr>
            <w:r>
              <w:rPr>
                <w:rFonts w:ascii="Times New Roman" w:hAnsi="Times New Roman"/>
                <w:color w:val="282828"/>
                <w:sz w:val="19"/>
              </w:rPr>
              <w:t>ColumnTransformer()</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remainder='drop', n_jobs=None</w:t>
            </w:r>
          </w:p>
        </w:tc>
      </w:tr>
      <w:tr>
        <w:tc>
          <w:tcPr>
            <w:tcW w:type="dxa" w:w="2160"/>
            <w:shd w:fill="F2F5F8"/>
            <w:tcMar>
              <w:top w:w="80" w:type="dxa"/>
              <w:bottom w:w="80" w:type="dxa"/>
              <w:left w:w="120" w:type="dxa"/>
              <w:right w:w="120" w:type="dxa"/>
            </w:tcMar>
          </w:tcPr>
          <w:p>
            <w:pPr>
              <w:jc w:val="left"/>
            </w:pPr>
            <w:r>
              <w:rPr>
                <w:rFonts w:ascii="Times New Roman" w:hAnsi="Times New Roman"/>
                <w:color w:val="282828"/>
                <w:sz w:val="19"/>
              </w:rPr>
              <w:t>End-to-End Pipeline</w:t>
            </w:r>
          </w:p>
        </w:tc>
        <w:tc>
          <w:tcPr>
            <w:tcW w:type="dxa" w:w="2160"/>
            <w:shd w:fill="F2F5F8"/>
            <w:tcMar>
              <w:top w:w="80" w:type="dxa"/>
              <w:bottom w:w="80" w:type="dxa"/>
              <w:left w:w="120" w:type="dxa"/>
              <w:right w:w="120" w:type="dxa"/>
            </w:tcMar>
          </w:tcPr>
          <w:p>
            <w:pPr>
              <w:jc w:val="center"/>
            </w:pPr>
            <w:r>
              <w:rPr>
                <w:rFonts w:ascii="Times New Roman" w:hAnsi="Times New Roman"/>
                <w:color w:val="282828"/>
                <w:sz w:val="19"/>
              </w:rPr>
              <w:t>Preprocessor + Model</w:t>
            </w:r>
          </w:p>
        </w:tc>
        <w:tc>
          <w:tcPr>
            <w:tcW w:type="dxa" w:w="2160"/>
            <w:shd w:fill="F2F5F8"/>
            <w:tcMar>
              <w:top w:w="80" w:type="dxa"/>
              <w:bottom w:w="80" w:type="dxa"/>
              <w:left w:w="120" w:type="dxa"/>
              <w:right w:w="120" w:type="dxa"/>
            </w:tcMar>
          </w:tcPr>
          <w:p>
            <w:pPr>
              <w:jc w:val="center"/>
            </w:pPr>
            <w:r>
              <w:rPr>
                <w:rFonts w:ascii="Times New Roman" w:hAnsi="Times New Roman"/>
                <w:color w:val="282828"/>
                <w:sz w:val="19"/>
              </w:rPr>
              <w:t>Pipeline()</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steps=[('preprocessor', CT), ('classifier', Model)]</w:t>
            </w:r>
          </w:p>
        </w:tc>
      </w:tr>
    </w:tbl>
    <w:p/>
    <w:p>
      <w:pPr>
        <w:keepNext/>
        <w:spacing w:before="200" w:after="80"/>
      </w:pPr>
      <w:r>
        <w:rPr>
          <w:rFonts w:ascii="Times New Roman" w:hAnsi="Times New Roman"/>
          <w:b/>
          <w:color w:val="002060"/>
          <w:sz w:val="24"/>
        </w:rPr>
        <w:t>3.3 Data Partitioning &amp; Leakage Elimination</w:t>
      </w:r>
    </w:p>
    <w:p>
      <w:pPr>
        <w:spacing w:before="0" w:after="120" w:line="276" w:lineRule="auto"/>
        <w:jc w:val="both"/>
      </w:pPr>
      <w:r>
        <w:rPr>
          <w:rFonts w:ascii="Times New Roman" w:hAnsi="Times New Roman"/>
          <w:color w:val="141414"/>
          <w:sz w:val="22"/>
        </w:rPr>
        <w:t>To establish authentic model generalization, the cleaned dataset is split into an 80% training set (N_train = 316 samples) and a 20% held-out testing set (N_test = 79 samples) using train_test_split() with a fixed seed (random_state=42). Crucially, we enforce stratified sampling (stratify=y) to preserve identical class proportions (32.9% Low, 48.6% Medium, 18.5% High) across both subsets. Because the ColumnTransformer is embedded directly inside an sklearn.pipeline.Pipeline, fitting occurs strictly during pipeline.fit(X_train, y_train). The test set X_test is transformed purely using the learned training parameters, guaranteeing complete absence of data leakage.</w:t>
      </w:r>
    </w:p>
    <w:p>
      <w:r>
        <w:br w:type="page"/>
      </w:r>
    </w:p>
    <w:p>
      <w:pPr>
        <w:keepNext/>
        <w:spacing w:before="280" w:after="120"/>
      </w:pPr>
      <w:r>
        <w:rPr>
          <w:rFonts w:ascii="Times New Roman" w:hAnsi="Times New Roman"/>
          <w:b/>
          <w:color w:val="1F497D"/>
          <w:sz w:val="28"/>
        </w:rPr>
        <w:t>CHAPTER 4: ALGORITHM DEVELOPMENT AND MODEL ARCHITECTURES</w:t>
      </w:r>
    </w:p>
    <w:p>
      <w:pPr>
        <w:keepNext/>
        <w:spacing w:before="200" w:after="80"/>
      </w:pPr>
      <w:r>
        <w:rPr>
          <w:rFonts w:ascii="Times New Roman" w:hAnsi="Times New Roman"/>
          <w:b/>
          <w:color w:val="002060"/>
          <w:sz w:val="24"/>
        </w:rPr>
        <w:t>4.1 Candidate Classifier Paradigms</w:t>
      </w:r>
    </w:p>
    <w:p>
      <w:pPr>
        <w:spacing w:before="0" w:after="120" w:line="276" w:lineRule="auto"/>
        <w:jc w:val="both"/>
      </w:pPr>
      <w:r>
        <w:rPr>
          <w:rFonts w:ascii="Times New Roman" w:hAnsi="Times New Roman"/>
          <w:color w:val="141414"/>
          <w:sz w:val="22"/>
        </w:rPr>
        <w:t>In fulfillment of requirement 4 of AIML Assignment No. 12, three mathematically diverse machine learning classification algorithms were implemented and compared:</w:t>
      </w:r>
    </w:p>
    <w:p>
      <w:pPr>
        <w:pStyle w:val="ListBullet"/>
        <w:spacing w:before="20" w:after="60" w:line="276" w:lineRule="auto"/>
        <w:jc w:val="both"/>
      </w:pPr>
      <w:r>
        <w:rPr>
          <w:rFonts w:ascii="Times New Roman" w:hAnsi="Times New Roman"/>
          <w:b/>
          <w:sz w:val="22"/>
        </w:rPr>
        <w:t xml:space="preserve">1. Random Forest Classifier: </w:t>
      </w:r>
      <w:r>
        <w:rPr>
          <w:rFonts w:ascii="Times New Roman" w:hAnsi="Times New Roman"/>
          <w:sz w:val="22"/>
        </w:rPr>
        <w:t>An ensemble bagging algorithm constructing B = 100 decorrelated decision trees using bootstrap aggregation and random feature subspace sampling. Predictions are aggregated via majority voting, providing high resistance to individual tree variance and yielding intrinsic Gini-based feature importances.</w:t>
      </w:r>
    </w:p>
    <w:p>
      <w:pPr>
        <w:pStyle w:val="ListBullet"/>
        <w:spacing w:before="20" w:after="60" w:line="276" w:lineRule="auto"/>
        <w:jc w:val="both"/>
      </w:pPr>
      <w:r>
        <w:rPr>
          <w:rFonts w:ascii="Times New Roman" w:hAnsi="Times New Roman"/>
          <w:b/>
          <w:sz w:val="22"/>
        </w:rPr>
        <w:t xml:space="preserve">2. Support Vector Machine (SVC): </w:t>
      </w:r>
      <w:r>
        <w:rPr>
          <w:rFonts w:ascii="Times New Roman" w:hAnsi="Times New Roman"/>
          <w:sz w:val="22"/>
        </w:rPr>
        <w:t>A maximum-margin classifier utilizing a non-linear Radial Basis Function (RBF) kernel K(x, x') = exp(-gamma * ||x - x'||^2). It maps transformed features into a high-dimensional reproducing kernel Hilbert space, determining the optimal separating hyperplanes that maximize geometric margins between support vectors.</w:t>
      </w:r>
    </w:p>
    <w:p>
      <w:pPr>
        <w:pStyle w:val="ListBullet"/>
        <w:spacing w:before="20" w:after="60" w:line="276" w:lineRule="auto"/>
        <w:jc w:val="both"/>
      </w:pPr>
      <w:r>
        <w:rPr>
          <w:rFonts w:ascii="Times New Roman" w:hAnsi="Times New Roman"/>
          <w:b/>
          <w:sz w:val="22"/>
        </w:rPr>
        <w:t xml:space="preserve">3. Gradient Boosting Classifier: </w:t>
      </w:r>
      <w:r>
        <w:rPr>
          <w:rFonts w:ascii="Times New Roman" w:hAnsi="Times New Roman"/>
          <w:sz w:val="22"/>
        </w:rPr>
        <w:t>A sequential boosting paradigm based on Friedman's gradient descent approximation. Rather than averaging independent trees, it sequentially fits M shallow regression trees to the negative gradients (pseudo-residuals) of the multi-class log-loss objective function, achieving superior accuracy on tabular datasets.</w:t>
      </w:r>
    </w:p>
    <w:p>
      <w:pPr>
        <w:keepNext/>
        <w:spacing w:before="200" w:after="80"/>
      </w:pPr>
      <w:r>
        <w:rPr>
          <w:rFonts w:ascii="Times New Roman" w:hAnsi="Times New Roman"/>
          <w:b/>
          <w:color w:val="002060"/>
          <w:sz w:val="24"/>
        </w:rPr>
        <w:t>4.2 Model Comparison Protocol (Stratified 5-Fold CV)</w:t>
      </w:r>
    </w:p>
    <w:p>
      <w:pPr>
        <w:spacing w:before="0" w:after="120" w:line="276" w:lineRule="auto"/>
        <w:jc w:val="both"/>
      </w:pPr>
      <w:r>
        <w:rPr>
          <w:rFonts w:ascii="Times New Roman" w:hAnsi="Times New Roman"/>
          <w:color w:val="141414"/>
          <w:sz w:val="22"/>
        </w:rPr>
        <w:t>Model selection was conducted exclusively on the 316-instance training partition using 5-fold stratified cross-validation (cv=5). In each fold, 4 partitions (approx. 253 samples) train the complete pipeline, while the remaining partition (approx. 63 samples) evaluates accuracy. Table 4.1 documents the exact, verified cross-validation scores recorded by train_model.py:</w:t>
      </w:r>
    </w:p>
    <w:tbl>
      <w:tblPr>
        <w:tblW w:type="auto" w:w="0"/>
        <w:jc w:val="center"/>
        <w:tblLayout w:type="fixed"/>
        <w:tblLook w:firstColumn="1" w:firstRow="1" w:lastColumn="0" w:lastRow="0" w:noHBand="0" w:noVBand="1" w:val="04A0"/>
      </w:tblPr>
      <w:tblGrid>
        <w:gridCol w:w="1125"/>
        <w:gridCol w:w="1125"/>
        <w:gridCol w:w="1125"/>
        <w:gridCol w:w="1125"/>
        <w:gridCol w:w="1125"/>
        <w:gridCol w:w="1125"/>
        <w:gridCol w:w="1125"/>
        <w:gridCol w:w="1125"/>
      </w:tblGrid>
      <w:tr>
        <w:tc>
          <w:tcPr>
            <w:tcW w:type="dxa" w:w="2160"/>
            <w:shd w:fill="1F497D"/>
            <w:tcMar>
              <w:top w:w="120" w:type="dxa"/>
              <w:bottom w:w="120" w:type="dxa"/>
              <w:left w:w="140" w:type="dxa"/>
              <w:right w:w="140" w:type="dxa"/>
            </w:tcMar>
          </w:tcPr>
          <w:p>
            <w:pPr>
              <w:jc w:val="center"/>
            </w:pPr>
            <w:r>
              <w:rPr>
                <w:rFonts w:ascii="Times New Roman" w:hAnsi="Times New Roman"/>
                <w:b/>
                <w:color w:val="FFFFFF"/>
                <w:sz w:val="20"/>
              </w:rPr>
              <w:t>Candidate Algorithm</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0"/>
              </w:rPr>
              <w:t>Fold 1</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0"/>
              </w:rPr>
              <w:t>Fold 2</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0"/>
              </w:rPr>
              <w:t>Fold 3</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0"/>
              </w:rPr>
              <w:t>Fold 4</w:t>
            </w:r>
          </w:p>
        </w:tc>
        <w:tc>
          <w:tcPr>
            <w:tcW w:type="dxa" w:w="1008"/>
            <w:shd w:fill="1F497D"/>
            <w:tcMar>
              <w:top w:w="120" w:type="dxa"/>
              <w:bottom w:w="120" w:type="dxa"/>
              <w:left w:w="140" w:type="dxa"/>
              <w:right w:w="140" w:type="dxa"/>
            </w:tcMar>
          </w:tcPr>
          <w:p>
            <w:pPr>
              <w:jc w:val="center"/>
            </w:pPr>
            <w:r>
              <w:rPr>
                <w:rFonts w:ascii="Times New Roman" w:hAnsi="Times New Roman"/>
                <w:b/>
                <w:color w:val="FFFFFF"/>
                <w:sz w:val="20"/>
              </w:rPr>
              <w:t>Fold 5</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Mean CV Accuracy</w:t>
            </w:r>
          </w:p>
        </w:tc>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Std. Dev. (sigma)</w:t>
            </w:r>
          </w:p>
        </w:tc>
      </w:tr>
      <w:tr>
        <w:tc>
          <w:tcPr>
            <w:tcW w:type="dxa" w:w="2160"/>
            <w:shd w:fill="FFFFFF"/>
            <w:tcMar>
              <w:top w:w="80" w:type="dxa"/>
              <w:bottom w:w="80" w:type="dxa"/>
              <w:left w:w="120" w:type="dxa"/>
              <w:right w:w="120" w:type="dxa"/>
            </w:tcMar>
          </w:tcPr>
          <w:p>
            <w:pPr>
              <w:jc w:val="left"/>
            </w:pPr>
            <w:r>
              <w:rPr>
                <w:rFonts w:ascii="Times New Roman" w:hAnsi="Times New Roman"/>
                <w:color w:val="282828"/>
                <w:sz w:val="19"/>
              </w:rPr>
              <w:t>Random Forest</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0.8906</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0.8254</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0.8571</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0.8571</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0.8571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85.75%</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 2.06%</w:t>
            </w:r>
          </w:p>
        </w:tc>
      </w:tr>
      <w:tr>
        <w:tc>
          <w:tcPr>
            <w:tcW w:type="dxa" w:w="2160"/>
            <w:shd w:fill="F2F5F8"/>
            <w:tcMar>
              <w:top w:w="80" w:type="dxa"/>
              <w:bottom w:w="80" w:type="dxa"/>
              <w:left w:w="120" w:type="dxa"/>
              <w:right w:w="120" w:type="dxa"/>
            </w:tcMar>
          </w:tcPr>
          <w:p>
            <w:pPr>
              <w:jc w:val="left"/>
            </w:pPr>
            <w:r>
              <w:rPr>
                <w:rFonts w:ascii="Times New Roman" w:hAnsi="Times New Roman"/>
                <w:color w:val="282828"/>
                <w:sz w:val="19"/>
              </w:rPr>
              <w:t>Support Vector Machine</w:t>
            </w:r>
          </w:p>
        </w:tc>
        <w:tc>
          <w:tcPr>
            <w:tcW w:type="dxa" w:w="1008"/>
            <w:shd w:fill="F2F5F8"/>
            <w:tcMar>
              <w:top w:w="80" w:type="dxa"/>
              <w:bottom w:w="80" w:type="dxa"/>
              <w:left w:w="120" w:type="dxa"/>
              <w:right w:w="120" w:type="dxa"/>
            </w:tcMar>
          </w:tcPr>
          <w:p>
            <w:pPr>
              <w:jc w:val="center"/>
            </w:pPr>
            <w:r>
              <w:rPr>
                <w:rFonts w:ascii="Times New Roman" w:hAnsi="Times New Roman"/>
                <w:color w:val="282828"/>
                <w:sz w:val="19"/>
              </w:rPr>
              <w:t>0.8438</w:t>
            </w:r>
          </w:p>
        </w:tc>
        <w:tc>
          <w:tcPr>
            <w:tcW w:type="dxa" w:w="1008"/>
            <w:shd w:fill="F2F5F8"/>
            <w:tcMar>
              <w:top w:w="80" w:type="dxa"/>
              <w:bottom w:w="80" w:type="dxa"/>
              <w:left w:w="120" w:type="dxa"/>
              <w:right w:w="120" w:type="dxa"/>
            </w:tcMar>
          </w:tcPr>
          <w:p>
            <w:pPr>
              <w:jc w:val="center"/>
            </w:pPr>
            <w:r>
              <w:rPr>
                <w:rFonts w:ascii="Times New Roman" w:hAnsi="Times New Roman"/>
                <w:color w:val="282828"/>
                <w:sz w:val="19"/>
              </w:rPr>
              <w:t>0.7460</w:t>
            </w:r>
          </w:p>
        </w:tc>
        <w:tc>
          <w:tcPr>
            <w:tcW w:type="dxa" w:w="1008"/>
            <w:shd w:fill="F2F5F8"/>
            <w:tcMar>
              <w:top w:w="80" w:type="dxa"/>
              <w:bottom w:w="80" w:type="dxa"/>
              <w:left w:w="120" w:type="dxa"/>
              <w:right w:w="120" w:type="dxa"/>
            </w:tcMar>
          </w:tcPr>
          <w:p>
            <w:pPr>
              <w:jc w:val="center"/>
            </w:pPr>
            <w:r>
              <w:rPr>
                <w:rFonts w:ascii="Times New Roman" w:hAnsi="Times New Roman"/>
                <w:color w:val="282828"/>
                <w:sz w:val="19"/>
              </w:rPr>
              <w:t>0.8254</w:t>
            </w:r>
          </w:p>
        </w:tc>
        <w:tc>
          <w:tcPr>
            <w:tcW w:type="dxa" w:w="1008"/>
            <w:shd w:fill="F2F5F8"/>
            <w:tcMar>
              <w:top w:w="80" w:type="dxa"/>
              <w:bottom w:w="80" w:type="dxa"/>
              <w:left w:w="120" w:type="dxa"/>
              <w:right w:w="120" w:type="dxa"/>
            </w:tcMar>
          </w:tcPr>
          <w:p>
            <w:pPr>
              <w:jc w:val="center"/>
            </w:pPr>
            <w:r>
              <w:rPr>
                <w:rFonts w:ascii="Times New Roman" w:hAnsi="Times New Roman"/>
                <w:color w:val="282828"/>
                <w:sz w:val="19"/>
              </w:rPr>
              <w:t>0.8254</w:t>
            </w:r>
          </w:p>
        </w:tc>
        <w:tc>
          <w:tcPr>
            <w:tcW w:type="dxa" w:w="1008"/>
            <w:shd w:fill="F2F5F8"/>
            <w:tcMar>
              <w:top w:w="80" w:type="dxa"/>
              <w:bottom w:w="80" w:type="dxa"/>
              <w:left w:w="120" w:type="dxa"/>
              <w:right w:w="120" w:type="dxa"/>
            </w:tcMar>
          </w:tcPr>
          <w:p>
            <w:pPr>
              <w:jc w:val="center"/>
            </w:pPr>
            <w:r>
              <w:rPr>
                <w:rFonts w:ascii="Times New Roman" w:hAnsi="Times New Roman"/>
                <w:color w:val="282828"/>
                <w:sz w:val="19"/>
              </w:rPr>
              <w:t>0.7143</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79.10%</w:t>
            </w:r>
          </w:p>
        </w:tc>
        <w:tc>
          <w:tcPr>
            <w:tcW w:type="dxa" w:w="1440"/>
            <w:shd w:fill="F2F5F8"/>
            <w:tcMar>
              <w:top w:w="80" w:type="dxa"/>
              <w:bottom w:w="80" w:type="dxa"/>
              <w:left w:w="120" w:type="dxa"/>
              <w:right w:w="120" w:type="dxa"/>
            </w:tcMar>
          </w:tcPr>
          <w:p>
            <w:pPr>
              <w:jc w:val="center"/>
            </w:pPr>
            <w:r>
              <w:rPr>
                <w:rFonts w:ascii="Times New Roman" w:hAnsi="Times New Roman"/>
                <w:color w:val="282828"/>
                <w:sz w:val="19"/>
              </w:rPr>
              <w:t>± 5.11%</w:t>
            </w:r>
          </w:p>
        </w:tc>
      </w:tr>
      <w:tr>
        <w:tc>
          <w:tcPr>
            <w:tcW w:type="dxa" w:w="2160"/>
            <w:shd w:fill="FFFFFF"/>
            <w:tcMar>
              <w:top w:w="80" w:type="dxa"/>
              <w:bottom w:w="80" w:type="dxa"/>
              <w:left w:w="120" w:type="dxa"/>
              <w:right w:w="120" w:type="dxa"/>
            </w:tcMar>
          </w:tcPr>
          <w:p>
            <w:pPr>
              <w:jc w:val="left"/>
            </w:pPr>
            <w:r>
              <w:rPr>
                <w:rFonts w:ascii="Times New Roman" w:hAnsi="Times New Roman"/>
                <w:color w:val="282828"/>
                <w:sz w:val="19"/>
              </w:rPr>
              <w:t>Gradient Boosting</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0.8906</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0.9206</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0.8730</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0.8730</w:t>
            </w:r>
          </w:p>
        </w:tc>
        <w:tc>
          <w:tcPr>
            <w:tcW w:type="dxa" w:w="1008"/>
            <w:shd w:fill="FFFFFF"/>
            <w:tcMar>
              <w:top w:w="80" w:type="dxa"/>
              <w:bottom w:w="80" w:type="dxa"/>
              <w:left w:w="120" w:type="dxa"/>
              <w:right w:w="120" w:type="dxa"/>
            </w:tcMar>
          </w:tcPr>
          <w:p>
            <w:pPr>
              <w:jc w:val="center"/>
            </w:pPr>
            <w:r>
              <w:rPr>
                <w:rFonts w:ascii="Times New Roman" w:hAnsi="Times New Roman"/>
                <w:color w:val="282828"/>
                <w:sz w:val="19"/>
              </w:rPr>
              <w:t>0.8889</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88.92%</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 1.74%</w:t>
            </w:r>
          </w:p>
        </w:tc>
      </w:tr>
    </w:tbl>
    <w:p/>
    <w:p>
      <w:pPr>
        <w:spacing w:before="0" w:after="120" w:line="276" w:lineRule="auto"/>
        <w:jc w:val="both"/>
      </w:pPr>
      <w:r>
        <w:rPr>
          <w:rFonts w:ascii="Times New Roman" w:hAnsi="Times New Roman"/>
          <w:color w:val="141414"/>
          <w:sz w:val="22"/>
        </w:rPr>
        <w:t>Analysis: Gradient Boosting demonstrated the highest cross-validation mean accuracy (88.92%) and the lowest fold variance (± 1.74%), outperforming Random Forest (85.75%) and SVM (79.10%). Consequently, Gradient Boosting was formally selected for hyperparameter optimization.</w:t>
      </w:r>
    </w:p>
    <w:p>
      <w:pPr>
        <w:keepNext/>
        <w:spacing w:before="200" w:after="80"/>
      </w:pPr>
      <w:r>
        <w:rPr>
          <w:rFonts w:ascii="Times New Roman" w:hAnsi="Times New Roman"/>
          <w:b/>
          <w:color w:val="002060"/>
          <w:sz w:val="24"/>
        </w:rPr>
        <w:t>4.3 Hyperparameter Optimization via GridSearchCV</w:t>
      </w:r>
    </w:p>
    <w:p>
      <w:pPr>
        <w:spacing w:before="0" w:after="120" w:line="276" w:lineRule="auto"/>
        <w:jc w:val="both"/>
      </w:pPr>
      <w:r>
        <w:rPr>
          <w:rFonts w:ascii="Times New Roman" w:hAnsi="Times New Roman"/>
          <w:color w:val="141414"/>
          <w:sz w:val="22"/>
        </w:rPr>
        <w:t>To maximize generalization and mitigate overfitting, GridSearchCV was executed over an exhaustive parameter grid covering tree depth, learning rate, and boosting stages (totaling 18 parameter combinations across 5 folds = 90 model fits). Table 4.2 presents the search space and optimal hyperparameters: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016"/>
            <w:shd w:fill="1F497D"/>
            <w:tcMar>
              <w:top w:w="120" w:type="dxa"/>
              <w:bottom w:w="120" w:type="dxa"/>
              <w:left w:w="140" w:type="dxa"/>
              <w:right w:w="140" w:type="dxa"/>
            </w:tcMar>
          </w:tcPr>
          <w:p>
            <w:pPr>
              <w:jc w:val="center"/>
            </w:pPr>
            <w:r>
              <w:rPr>
                <w:rFonts w:ascii="Times New Roman" w:hAnsi="Times New Roman"/>
                <w:b/>
                <w:color w:val="FFFFFF"/>
                <w:sz w:val="20"/>
              </w:rPr>
              <w:t>Hyperparameter</w:t>
            </w:r>
          </w:p>
        </w:tc>
        <w:tc>
          <w:tcPr>
            <w:tcW w:type="dxa" w:w="2304"/>
            <w:shd w:fill="1F497D"/>
            <w:tcMar>
              <w:top w:w="120" w:type="dxa"/>
              <w:bottom w:w="120" w:type="dxa"/>
              <w:left w:w="140" w:type="dxa"/>
              <w:right w:w="140" w:type="dxa"/>
            </w:tcMar>
          </w:tcPr>
          <w:p>
            <w:pPr>
              <w:jc w:val="center"/>
            </w:pPr>
            <w:r>
              <w:rPr>
                <w:rFonts w:ascii="Times New Roman" w:hAnsi="Times New Roman"/>
                <w:b/>
                <w:color w:val="FFFFFF"/>
                <w:sz w:val="20"/>
              </w:rPr>
              <w:t>Search Grid Candidates</w:t>
            </w:r>
          </w:p>
        </w:tc>
        <w:tc>
          <w:tcPr>
            <w:tcW w:type="dxa" w:w="2016"/>
            <w:shd w:fill="1F497D"/>
            <w:tcMar>
              <w:top w:w="120" w:type="dxa"/>
              <w:bottom w:w="120" w:type="dxa"/>
              <w:left w:w="140" w:type="dxa"/>
              <w:right w:w="140" w:type="dxa"/>
            </w:tcMar>
          </w:tcPr>
          <w:p>
            <w:pPr>
              <w:jc w:val="center"/>
            </w:pPr>
            <w:r>
              <w:rPr>
                <w:rFonts w:ascii="Times New Roman" w:hAnsi="Times New Roman"/>
                <w:b/>
                <w:color w:val="FFFFFF"/>
                <w:sz w:val="20"/>
              </w:rPr>
              <w:t>Optimal Selected Value</w:t>
            </w:r>
          </w:p>
        </w:tc>
        <w:tc>
          <w:tcPr>
            <w:tcW w:type="dxa" w:w="3312"/>
            <w:shd w:fill="1F497D"/>
            <w:tcMar>
              <w:top w:w="120" w:type="dxa"/>
              <w:bottom w:w="120" w:type="dxa"/>
              <w:left w:w="140" w:type="dxa"/>
              <w:right w:w="140" w:type="dxa"/>
            </w:tcMar>
          </w:tcPr>
          <w:p>
            <w:pPr>
              <w:jc w:val="center"/>
            </w:pPr>
            <w:r>
              <w:rPr>
                <w:rFonts w:ascii="Times New Roman" w:hAnsi="Times New Roman"/>
                <w:b/>
                <w:color w:val="FFFFFF"/>
                <w:sz w:val="20"/>
              </w:rPr>
              <w:t>Architectural Role / Impact</w:t>
            </w:r>
          </w:p>
        </w:tc>
      </w:tr>
      <w:tr>
        <w:tc>
          <w:tcPr>
            <w:tcW w:type="dxa" w:w="2016"/>
            <w:shd w:fill="FFFFFF"/>
            <w:tcMar>
              <w:top w:w="80" w:type="dxa"/>
              <w:bottom w:w="80" w:type="dxa"/>
              <w:left w:w="120" w:type="dxa"/>
              <w:right w:w="120" w:type="dxa"/>
            </w:tcMar>
          </w:tcPr>
          <w:p>
            <w:pPr>
              <w:jc w:val="left"/>
            </w:pPr>
            <w:r>
              <w:rPr>
                <w:rFonts w:ascii="Times New Roman" w:hAnsi="Times New Roman"/>
                <w:color w:val="282828"/>
                <w:sz w:val="19"/>
              </w:rPr>
              <w:t>learning_rate</w:t>
            </w:r>
          </w:p>
        </w:tc>
        <w:tc>
          <w:tcPr>
            <w:tcW w:type="dxa" w:w="2304"/>
            <w:shd w:fill="FFFFFF"/>
            <w:tcMar>
              <w:top w:w="80" w:type="dxa"/>
              <w:bottom w:w="80" w:type="dxa"/>
              <w:left w:w="120" w:type="dxa"/>
              <w:right w:w="120" w:type="dxa"/>
            </w:tcMar>
          </w:tcPr>
          <w:p>
            <w:pPr>
              <w:jc w:val="center"/>
            </w:pPr>
            <w:r>
              <w:rPr>
                <w:rFonts w:ascii="Times New Roman" w:hAnsi="Times New Roman"/>
                <w:color w:val="282828"/>
                <w:sz w:val="19"/>
              </w:rPr>
              <w:t>[0.05, 0.1, 0.2]</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0.05</w:t>
            </w:r>
          </w:p>
        </w:tc>
        <w:tc>
          <w:tcPr>
            <w:tcW w:type="dxa" w:w="3312"/>
            <w:shd w:fill="FFFFFF"/>
            <w:tcMar>
              <w:top w:w="80" w:type="dxa"/>
              <w:bottom w:w="80" w:type="dxa"/>
              <w:left w:w="120" w:type="dxa"/>
              <w:right w:w="120" w:type="dxa"/>
            </w:tcMar>
          </w:tcPr>
          <w:p>
            <w:pPr>
              <w:jc w:val="center"/>
            </w:pPr>
            <w:r>
              <w:rPr>
                <w:rFonts w:ascii="Times New Roman" w:hAnsi="Times New Roman"/>
                <w:color w:val="282828"/>
                <w:sz w:val="19"/>
              </w:rPr>
              <w:t>Shrinkage factor scaling step size of gradient updates</w:t>
            </w:r>
          </w:p>
        </w:tc>
      </w:tr>
      <w:tr>
        <w:tc>
          <w:tcPr>
            <w:tcW w:type="dxa" w:w="2016"/>
            <w:shd w:fill="F2F5F8"/>
            <w:tcMar>
              <w:top w:w="80" w:type="dxa"/>
              <w:bottom w:w="80" w:type="dxa"/>
              <w:left w:w="120" w:type="dxa"/>
              <w:right w:w="120" w:type="dxa"/>
            </w:tcMar>
          </w:tcPr>
          <w:p>
            <w:pPr>
              <w:jc w:val="left"/>
            </w:pPr>
            <w:r>
              <w:rPr>
                <w:rFonts w:ascii="Times New Roman" w:hAnsi="Times New Roman"/>
                <w:color w:val="282828"/>
                <w:sz w:val="19"/>
              </w:rPr>
              <w:t>max_depth</w:t>
            </w:r>
          </w:p>
        </w:tc>
        <w:tc>
          <w:tcPr>
            <w:tcW w:type="dxa" w:w="2304"/>
            <w:shd w:fill="F2F5F8"/>
            <w:tcMar>
              <w:top w:w="80" w:type="dxa"/>
              <w:bottom w:w="80" w:type="dxa"/>
              <w:left w:w="120" w:type="dxa"/>
              <w:right w:w="120" w:type="dxa"/>
            </w:tcMar>
          </w:tcPr>
          <w:p>
            <w:pPr>
              <w:jc w:val="center"/>
            </w:pPr>
            <w:r>
              <w:rPr>
                <w:rFonts w:ascii="Times New Roman" w:hAnsi="Times New Roman"/>
                <w:color w:val="282828"/>
                <w:sz w:val="19"/>
              </w:rPr>
              <w:t>[3, 5, 7]</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3</w:t>
            </w:r>
          </w:p>
        </w:tc>
        <w:tc>
          <w:tcPr>
            <w:tcW w:type="dxa" w:w="3312"/>
            <w:shd w:fill="F2F5F8"/>
            <w:tcMar>
              <w:top w:w="80" w:type="dxa"/>
              <w:bottom w:w="80" w:type="dxa"/>
              <w:left w:w="120" w:type="dxa"/>
              <w:right w:w="120" w:type="dxa"/>
            </w:tcMar>
          </w:tcPr>
          <w:p>
            <w:pPr>
              <w:jc w:val="center"/>
            </w:pPr>
            <w:r>
              <w:rPr>
                <w:rFonts w:ascii="Times New Roman" w:hAnsi="Times New Roman"/>
                <w:color w:val="282828"/>
                <w:sz w:val="19"/>
              </w:rPr>
              <w:t>Maximum tree depth; prevents individual tree over-complexity</w:t>
            </w:r>
          </w:p>
        </w:tc>
      </w:tr>
      <w:tr>
        <w:tc>
          <w:tcPr>
            <w:tcW w:type="dxa" w:w="2016"/>
            <w:shd w:fill="FFFFFF"/>
            <w:tcMar>
              <w:top w:w="80" w:type="dxa"/>
              <w:bottom w:w="80" w:type="dxa"/>
              <w:left w:w="120" w:type="dxa"/>
              <w:right w:w="120" w:type="dxa"/>
            </w:tcMar>
          </w:tcPr>
          <w:p>
            <w:pPr>
              <w:jc w:val="left"/>
            </w:pPr>
            <w:r>
              <w:rPr>
                <w:rFonts w:ascii="Times New Roman" w:hAnsi="Times New Roman"/>
                <w:color w:val="282828"/>
                <w:sz w:val="19"/>
              </w:rPr>
              <w:t>n_estimators</w:t>
            </w:r>
          </w:p>
        </w:tc>
        <w:tc>
          <w:tcPr>
            <w:tcW w:type="dxa" w:w="2304"/>
            <w:shd w:fill="FFFFFF"/>
            <w:tcMar>
              <w:top w:w="80" w:type="dxa"/>
              <w:bottom w:w="80" w:type="dxa"/>
              <w:left w:w="120" w:type="dxa"/>
              <w:right w:w="120" w:type="dxa"/>
            </w:tcMar>
          </w:tcPr>
          <w:p>
            <w:pPr>
              <w:jc w:val="center"/>
            </w:pPr>
            <w:r>
              <w:rPr>
                <w:rFonts w:ascii="Times New Roman" w:hAnsi="Times New Roman"/>
                <w:color w:val="282828"/>
                <w:sz w:val="19"/>
              </w:rPr>
              <w:t>[100, 200]</w:t>
            </w:r>
          </w:p>
        </w:tc>
        <w:tc>
          <w:tcPr>
            <w:tcW w:type="dxa" w:w="2016"/>
            <w:shd w:fill="FFFFFF"/>
            <w:tcMar>
              <w:top w:w="80" w:type="dxa"/>
              <w:bottom w:w="80" w:type="dxa"/>
              <w:left w:w="120" w:type="dxa"/>
              <w:right w:w="120" w:type="dxa"/>
            </w:tcMar>
          </w:tcPr>
          <w:p>
            <w:pPr>
              <w:jc w:val="center"/>
            </w:pPr>
            <w:r>
              <w:rPr>
                <w:rFonts w:ascii="Times New Roman" w:hAnsi="Times New Roman"/>
                <w:color w:val="282828"/>
                <w:sz w:val="19"/>
              </w:rPr>
              <w:t>100</w:t>
            </w:r>
          </w:p>
        </w:tc>
        <w:tc>
          <w:tcPr>
            <w:tcW w:type="dxa" w:w="3312"/>
            <w:shd w:fill="FFFFFF"/>
            <w:tcMar>
              <w:top w:w="80" w:type="dxa"/>
              <w:bottom w:w="80" w:type="dxa"/>
              <w:left w:w="120" w:type="dxa"/>
              <w:right w:w="120" w:type="dxa"/>
            </w:tcMar>
          </w:tcPr>
          <w:p>
            <w:pPr>
              <w:jc w:val="center"/>
            </w:pPr>
            <w:r>
              <w:rPr>
                <w:rFonts w:ascii="Times New Roman" w:hAnsi="Times New Roman"/>
                <w:color w:val="282828"/>
                <w:sz w:val="19"/>
              </w:rPr>
              <w:t>Total number of sequential boosting stages executed</w:t>
            </w:r>
          </w:p>
        </w:tc>
      </w:tr>
      <w:tr>
        <w:tc>
          <w:tcPr>
            <w:tcW w:type="dxa" w:w="2016"/>
            <w:shd w:fill="F2F5F8"/>
            <w:tcMar>
              <w:top w:w="80" w:type="dxa"/>
              <w:bottom w:w="80" w:type="dxa"/>
              <w:left w:w="120" w:type="dxa"/>
              <w:right w:w="120" w:type="dxa"/>
            </w:tcMar>
          </w:tcPr>
          <w:p>
            <w:pPr>
              <w:jc w:val="left"/>
            </w:pPr>
            <w:r>
              <w:rPr>
                <w:rFonts w:ascii="Times New Roman" w:hAnsi="Times New Roman"/>
                <w:color w:val="282828"/>
                <w:sz w:val="19"/>
              </w:rPr>
              <w:t>Best CV Score</w:t>
            </w:r>
          </w:p>
        </w:tc>
        <w:tc>
          <w:tcPr>
            <w:tcW w:type="dxa" w:w="2304"/>
            <w:shd w:fill="F2F5F8"/>
            <w:tcMar>
              <w:top w:w="80" w:type="dxa"/>
              <w:bottom w:w="80" w:type="dxa"/>
              <w:left w:w="120" w:type="dxa"/>
              <w:right w:w="120" w:type="dxa"/>
            </w:tcMar>
          </w:tcPr>
          <w:p>
            <w:pPr>
              <w:jc w:val="center"/>
            </w:pPr>
            <w:r>
              <w:rPr>
                <w:rFonts w:ascii="Times New Roman" w:hAnsi="Times New Roman"/>
                <w:color w:val="282828"/>
                <w:sz w:val="19"/>
              </w:rPr>
              <w:t>-</w:t>
            </w:r>
          </w:p>
        </w:tc>
        <w:tc>
          <w:tcPr>
            <w:tcW w:type="dxa" w:w="2016"/>
            <w:shd w:fill="F2F5F8"/>
            <w:tcMar>
              <w:top w:w="80" w:type="dxa"/>
              <w:bottom w:w="80" w:type="dxa"/>
              <w:left w:w="120" w:type="dxa"/>
              <w:right w:w="120" w:type="dxa"/>
            </w:tcMar>
          </w:tcPr>
          <w:p>
            <w:pPr>
              <w:jc w:val="center"/>
            </w:pPr>
            <w:r>
              <w:rPr>
                <w:rFonts w:ascii="Times New Roman" w:hAnsi="Times New Roman"/>
                <w:color w:val="282828"/>
                <w:sz w:val="19"/>
              </w:rPr>
              <w:t>90.19%</w:t>
            </w:r>
          </w:p>
        </w:tc>
        <w:tc>
          <w:tcPr>
            <w:tcW w:type="dxa" w:w="3312"/>
            <w:shd w:fill="F2F5F8"/>
            <w:tcMar>
              <w:top w:w="80" w:type="dxa"/>
              <w:bottom w:w="80" w:type="dxa"/>
              <w:left w:w="120" w:type="dxa"/>
              <w:right w:w="120" w:type="dxa"/>
            </w:tcMar>
          </w:tcPr>
          <w:p>
            <w:pPr>
              <w:jc w:val="center"/>
            </w:pPr>
            <w:r>
              <w:rPr>
                <w:rFonts w:ascii="Times New Roman" w:hAnsi="Times New Roman"/>
                <w:color w:val="282828"/>
                <w:sz w:val="19"/>
              </w:rPr>
              <w:t>Achieved cross-validation score after grid optimization</w:t>
            </w:r>
          </w:p>
        </w:tc>
      </w:tr>
    </w:tbl>
    <w:p/>
    <w:p>
      <w:pPr>
        <w:spacing w:before="160" w:after="80"/>
        <w:jc w:val="center"/>
      </w:pPr>
      <w:r>
        <w:drawing>
          <wp:inline xmlns:a="http://schemas.openxmlformats.org/drawingml/2006/main" xmlns:pic="http://schemas.openxmlformats.org/drawingml/2006/picture">
            <wp:extent cx="5029200" cy="2490651"/>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029200" cy="2490651"/>
                    </a:xfrm>
                    <a:prstGeom prst="rect"/>
                  </pic:spPr>
                </pic:pic>
              </a:graphicData>
            </a:graphic>
          </wp:inline>
        </w:drawing>
      </w:r>
    </w:p>
    <w:p>
      <w:pPr>
        <w:spacing w:before="40" w:after="200"/>
        <w:jc w:val="center"/>
      </w:pPr>
      <w:r>
        <w:rPr>
          <w:rFonts w:ascii="Times New Roman" w:hAnsi="Times New Roman"/>
          <w:b/>
          <w:i/>
          <w:color w:val="3C3C3C"/>
          <w:sz w:val="20"/>
        </w:rPr>
        <w:t>Figure 4.1: Model Comparison Across Evaluation Metrics (Test Set)</w:t>
      </w:r>
    </w:p>
    <w:p>
      <w:r>
        <w:br w:type="page"/>
      </w:r>
    </w:p>
    <w:p>
      <w:pPr>
        <w:keepNext/>
        <w:spacing w:before="280" w:after="120"/>
      </w:pPr>
      <w:r>
        <w:rPr>
          <w:rFonts w:ascii="Times New Roman" w:hAnsi="Times New Roman"/>
          <w:b/>
          <w:color w:val="1F497D"/>
          <w:sz w:val="28"/>
        </w:rPr>
        <w:t>CHAPTER 5: SYSTEM ARCHITECTURE AND WORKFLOW</w:t>
      </w:r>
    </w:p>
    <w:p>
      <w:pPr>
        <w:keepNext/>
        <w:spacing w:before="200" w:after="80"/>
      </w:pPr>
      <w:r>
        <w:rPr>
          <w:rFonts w:ascii="Times New Roman" w:hAnsi="Times New Roman"/>
          <w:b/>
          <w:color w:val="002060"/>
          <w:sz w:val="24"/>
        </w:rPr>
        <w:t>5.1 End-to-End System Architecture</w:t>
      </w:r>
    </w:p>
    <w:p>
      <w:pPr>
        <w:spacing w:before="0" w:after="120" w:line="276" w:lineRule="auto"/>
        <w:jc w:val="both"/>
      </w:pPr>
      <w:r>
        <w:rPr>
          <w:rFonts w:ascii="Times New Roman" w:hAnsi="Times New Roman"/>
          <w:color w:val="141414"/>
          <w:sz w:val="22"/>
        </w:rPr>
        <w:t>EduPredict AI is organized into a modular, multi-tier software architecture enforcing high cohesion and low coupling. Figure 5.1 illustrates the end-to-end topology comprising Data Ingestion, Pipeline Preprocessing, Model Training &amp; Optimization, Model Persistence, and User Presentation via Streamlit:</w:t>
      </w:r>
    </w:p>
    <w:p>
      <w:pPr>
        <w:spacing w:before="0" w:after="120" w:line="276" w:lineRule="auto"/>
        <w:jc w:val="both"/>
      </w:pPr>
      <w:r>
        <w:rPr>
          <w:rFonts w:ascii="Times New Roman" w:hAnsi="Times New Roman"/>
          <w:color w:val="141414"/>
          <w:sz w:val="22"/>
        </w:rPr>
        <w:t>Architecture Breakdown:</w:t>
        <w:br/>
        <w:t>1. Ingestion Layer (src/data_loader.py): Loads raw CSV, provides schema dictionaries, attribute metadata, and category mappings.</w:t>
        <w:br/>
        <w:t>2. Preprocessing Layer (src/preprocessing.py): Executes data cleaning, ordinal grade discretization, and constructs the composite ColumnTransformer.</w:t>
        <w:br/>
        <w:t>3. Modeling Engine (src/model_training.py): Coordinates multi-model cross-validation, candidate selection, and GridSearchCV tuning.</w:t>
        <w:br/>
        <w:t>4. Evaluation Suite (src/evaluation.py): Computes precision, recall, F1, confusion matrices, and renders publication-ready visualization charts.</w:t>
        <w:br/>
        <w:t>5. Persistence Layer (models/): Serializes the fitted Pipeline into best_model.joblib and saves JSON/joblib metadata.</w:t>
        <w:br/>
        <w:t>6. Inference Engine (src/predictor.py): Exposes predict_performance() and maps outputs to risk tiers and remediation guidance.</w:t>
        <w:br/>
        <w:t>7. Application Layer (app.py): Renders the responsive 6-page interactive Streamlit dashboard.</w:t>
      </w:r>
    </w:p>
    <w:tbl>
      <w:tblPr>
        <w:tblW w:type="auto" w:w="0"/>
        <w:jc w:val="center"/>
        <w:tblLook w:firstColumn="1" w:firstRow="1" w:lastColumn="0" w:lastRow="0" w:noHBand="0" w:noVBand="1" w:val="04A0"/>
      </w:tblPr>
      <w:tblGrid>
        <w:gridCol w:w="9000"/>
      </w:tblGrid>
      <w:tr>
        <w:tc>
          <w:tcPr>
            <w:tcW w:type="dxa" w:w="9000"/>
            <w:shd w:fill="EBF1F5"/>
            <w:tcMar>
              <w:top w:w="100" w:type="dxa"/>
              <w:bottom w:w="100" w:type="dxa"/>
              <w:left w:w="150" w:type="dxa"/>
              <w:right w:w="150" w:type="dxa"/>
            </w:tcMar>
          </w:tcPr>
          <w:p>
            <w:pPr>
              <w:jc w:val="center"/>
            </w:pPr>
            <w:r>
              <w:rPr>
                <w:rFonts w:ascii="Times New Roman" w:hAnsi="Times New Roman"/>
                <w:b/>
                <w:color w:val="1F497D"/>
                <w:sz w:val="20"/>
              </w:rPr>
              <w:t>1. DATA LAYER: UCI Student Performance Dataset (student-mat.csv, 395 records, 33 attributes)</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0"/>
              </w:rPr>
              <w:t>2. PREPROCESSING PIPELINE: StandardScaler (15 num) + OneHotEncoder (17 cat) [ColumnTransformer]</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0"/>
              </w:rPr>
              <w:t>3. MODEL TRAINING &amp; COMPARISON: Random Forest vs. SVM vs. Gradient Boosting (5-Fold Stratified CV)</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0"/>
              </w:rPr>
              <w:t>4. MODEL SELECTION &amp; TUNING: GridSearchCV (Optimal: learning_rate=0.05, max_depth=3, n_estimators=100)</w:t>
            </w:r>
          </w:p>
        </w:tc>
      </w:tr>
      <w:tr>
        <w:tc>
          <w:tcPr>
            <w:tcW w:type="dxa" w:w="9000"/>
            <w:shd w:fill="EBF1F5"/>
            <w:tcMar>
              <w:top w:w="100" w:type="dxa"/>
              <w:bottom w:w="100" w:type="dxa"/>
              <w:left w:w="150" w:type="dxa"/>
              <w:right w:w="150" w:type="dxa"/>
            </w:tcMar>
          </w:tcPr>
          <w:p>
            <w:pPr>
              <w:jc w:val="center"/>
            </w:pPr>
            <w:r>
              <w:rPr>
                <w:rFonts w:ascii="Times New Roman" w:hAnsi="Times New Roman"/>
                <w:b/>
                <w:color w:val="1F497D"/>
                <w:sz w:val="20"/>
              </w:rPr>
              <w:t>5. INFERENCE &amp; SERVING: Joblib Pipeline Serialization -&gt; Streamlit Multi-Page Web Dashboard</w:t>
            </w:r>
          </w:p>
        </w:tc>
      </w:tr>
    </w:tbl>
    <w:p/>
    <w:p>
      <w:pPr>
        <w:jc w:val="center"/>
      </w:pPr>
      <w:r>
        <w:rPr>
          <w:b/>
          <w:i/>
          <w:sz w:val="20"/>
        </w:rPr>
        <w:t>Figure 5.1: End-to-End Modular System Architecture of EduPredict AI</w:t>
      </w:r>
    </w:p>
    <w:p>
      <w:pPr>
        <w:keepNext/>
        <w:spacing w:before="200" w:after="80"/>
      </w:pPr>
      <w:r>
        <w:rPr>
          <w:rFonts w:ascii="Times New Roman" w:hAnsi="Times New Roman"/>
          <w:b/>
          <w:color w:val="002060"/>
          <w:sz w:val="24"/>
        </w:rPr>
        <w:t>5.2 Detailed Execution Workflow</w:t>
      </w:r>
    </w:p>
    <w:p>
      <w:pPr>
        <w:spacing w:before="0" w:after="120" w:line="276" w:lineRule="auto"/>
        <w:jc w:val="both"/>
      </w:pPr>
      <w:r>
        <w:rPr>
          <w:rFonts w:ascii="Times New Roman" w:hAnsi="Times New Roman"/>
          <w:color w:val="141414"/>
          <w:sz w:val="22"/>
        </w:rPr>
        <w:t>The operational lifecycle proceeds through eight sequential stages: (1) Execution of train_model.py; (2) Dataset ingestion and cleaning; (3) Target grade binning into Low, Medium, High; (4) Stratified 80/20 train/test splitting; (5) Pipeline cross-validation across the three classifiers; (6) GridSearchCV tuning of Gradient Boosting; (7) Test set metric calculation and chart generation in charts/; and (8) Binary serialization to models/best_model.joblib for production serving by app.py.</w:t>
      </w:r>
    </w:p>
    <w:p>
      <w:pPr>
        <w:keepNext/>
        <w:spacing w:before="200" w:after="80"/>
      </w:pPr>
      <w:r>
        <w:rPr>
          <w:rFonts w:ascii="Times New Roman" w:hAnsi="Times New Roman"/>
          <w:b/>
          <w:color w:val="002060"/>
          <w:sz w:val="24"/>
        </w:rPr>
        <w:t>5.3 Software and Hardware Requirements</w:t>
      </w:r>
    </w:p>
    <w:p>
      <w:pPr>
        <w:spacing w:before="0" w:after="120" w:line="276" w:lineRule="auto"/>
        <w:jc w:val="both"/>
      </w:pPr>
      <w:r>
        <w:rPr>
          <w:rFonts w:ascii="Times New Roman" w:hAnsi="Times New Roman"/>
          <w:color w:val="141414"/>
          <w:sz w:val="22"/>
        </w:rPr>
        <w:t>Table 5.1 outlines the exact hardware and software environment utilized to develop, verify, and execute the project:</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F497D"/>
            <w:tcMar>
              <w:top w:w="120" w:type="dxa"/>
              <w:bottom w:w="120" w:type="dxa"/>
              <w:left w:w="140" w:type="dxa"/>
              <w:right w:w="140" w:type="dxa"/>
            </w:tcMar>
          </w:tcPr>
          <w:p>
            <w:pPr>
              <w:jc w:val="center"/>
            </w:pPr>
            <w:r>
              <w:rPr>
                <w:rFonts w:ascii="Times New Roman" w:hAnsi="Times New Roman"/>
                <w:b/>
                <w:color w:val="FFFFFF"/>
                <w:sz w:val="20"/>
              </w:rPr>
              <w:t>Parameter / Resource</w:t>
            </w:r>
          </w:p>
        </w:tc>
        <w:tc>
          <w:tcPr>
            <w:tcW w:type="dxa" w:w="3168"/>
            <w:shd w:fill="1F497D"/>
            <w:tcMar>
              <w:top w:w="120" w:type="dxa"/>
              <w:bottom w:w="120" w:type="dxa"/>
              <w:left w:w="140" w:type="dxa"/>
              <w:right w:w="140" w:type="dxa"/>
            </w:tcMar>
          </w:tcPr>
          <w:p>
            <w:pPr>
              <w:jc w:val="center"/>
            </w:pPr>
            <w:r>
              <w:rPr>
                <w:rFonts w:ascii="Times New Roman" w:hAnsi="Times New Roman"/>
                <w:b/>
                <w:color w:val="FFFFFF"/>
                <w:sz w:val="20"/>
              </w:rPr>
              <w:t>Minimum Specification</w:t>
            </w:r>
          </w:p>
        </w:tc>
        <w:tc>
          <w:tcPr>
            <w:tcW w:type="dxa" w:w="3888"/>
            <w:shd w:fill="1F497D"/>
            <w:tcMar>
              <w:top w:w="120" w:type="dxa"/>
              <w:bottom w:w="120" w:type="dxa"/>
              <w:left w:w="140" w:type="dxa"/>
              <w:right w:w="140" w:type="dxa"/>
            </w:tcMar>
          </w:tcPr>
          <w:p>
            <w:pPr>
              <w:jc w:val="center"/>
            </w:pPr>
            <w:r>
              <w:rPr>
                <w:rFonts w:ascii="Times New Roman" w:hAnsi="Times New Roman"/>
                <w:b/>
                <w:color w:val="FFFFFF"/>
                <w:sz w:val="20"/>
              </w:rPr>
              <w:t>Actual Development &amp; Execution Environment</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Operating System</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Windows 10 / 11, Linux, or macOS</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Microsoft Windows 11 Home (64-bit)</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Programming Language</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Python 3.10+</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Python 3.12.4 (CPython runtime)</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Core Data Libraries</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Pandas 1.5+, NumPy 1.23+</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Pandas 2.2+, NumPy 1.26+</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Machine Learning Suite</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Scikit-learn 1.2+</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Scikit-learn 1.4+</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Visualization Libraries</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Matplotlib 3.6+, Seaborn 0.12+</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Matplotlib 3.8+, Seaborn 0.13.2</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Web Framework</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Streamlit 1.28+</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Streamlit 1.32+</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Model Serialization</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Joblib 1.2+</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Joblib 1.3+</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Automated Test Suite</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Pytest 7.0+</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Pytest 8.1+ (32 Unit Tests)</w:t>
            </w:r>
          </w:p>
        </w:tc>
      </w:tr>
      <w:tr>
        <w:tc>
          <w:tcPr>
            <w:tcW w:type="dxa" w:w="2592"/>
            <w:shd w:fill="FFFFFF"/>
            <w:tcMar>
              <w:top w:w="80" w:type="dxa"/>
              <w:bottom w:w="80" w:type="dxa"/>
              <w:left w:w="120" w:type="dxa"/>
              <w:right w:w="120" w:type="dxa"/>
            </w:tcMar>
          </w:tcPr>
          <w:p>
            <w:pPr>
              <w:jc w:val="left"/>
            </w:pPr>
            <w:r>
              <w:rPr>
                <w:rFonts w:ascii="Times New Roman" w:hAnsi="Times New Roman"/>
                <w:color w:val="282828"/>
                <w:sz w:val="19"/>
              </w:rPr>
              <w:t>Processor / Compute</w:t>
            </w:r>
          </w:p>
        </w:tc>
        <w:tc>
          <w:tcPr>
            <w:tcW w:type="dxa" w:w="3168"/>
            <w:shd w:fill="FFFFFF"/>
            <w:tcMar>
              <w:top w:w="80" w:type="dxa"/>
              <w:bottom w:w="80" w:type="dxa"/>
              <w:left w:w="120" w:type="dxa"/>
              <w:right w:w="120" w:type="dxa"/>
            </w:tcMar>
          </w:tcPr>
          <w:p>
            <w:pPr>
              <w:jc w:val="center"/>
            </w:pPr>
            <w:r>
              <w:rPr>
                <w:rFonts w:ascii="Times New Roman" w:hAnsi="Times New Roman"/>
                <w:color w:val="282828"/>
                <w:sz w:val="19"/>
              </w:rPr>
              <w:t>Intel Core i3 / AMD Ryzen 3 (2.0 GHz)</w:t>
            </w:r>
          </w:p>
        </w:tc>
        <w:tc>
          <w:tcPr>
            <w:tcW w:type="dxa" w:w="3888"/>
            <w:shd w:fill="FFFFFF"/>
            <w:tcMar>
              <w:top w:w="80" w:type="dxa"/>
              <w:bottom w:w="80" w:type="dxa"/>
              <w:left w:w="120" w:type="dxa"/>
              <w:right w:w="120" w:type="dxa"/>
            </w:tcMar>
          </w:tcPr>
          <w:p>
            <w:pPr>
              <w:jc w:val="center"/>
            </w:pPr>
            <w:r>
              <w:rPr>
                <w:rFonts w:ascii="Times New Roman" w:hAnsi="Times New Roman"/>
                <w:color w:val="282828"/>
                <w:sz w:val="19"/>
              </w:rPr>
              <w:t>Intel Core i5 / AMD Ryzen 5, 8GB+ RAM</w:t>
            </w:r>
          </w:p>
        </w:tc>
      </w:tr>
      <w:tr>
        <w:tc>
          <w:tcPr>
            <w:tcW w:type="dxa" w:w="2592"/>
            <w:shd w:fill="F2F5F8"/>
            <w:tcMar>
              <w:top w:w="80" w:type="dxa"/>
              <w:bottom w:w="80" w:type="dxa"/>
              <w:left w:w="120" w:type="dxa"/>
              <w:right w:w="120" w:type="dxa"/>
            </w:tcMar>
          </w:tcPr>
          <w:p>
            <w:pPr>
              <w:jc w:val="left"/>
            </w:pPr>
            <w:r>
              <w:rPr>
                <w:rFonts w:ascii="Times New Roman" w:hAnsi="Times New Roman"/>
                <w:color w:val="282828"/>
                <w:sz w:val="19"/>
              </w:rPr>
              <w:t>Storage Space</w:t>
            </w:r>
          </w:p>
        </w:tc>
        <w:tc>
          <w:tcPr>
            <w:tcW w:type="dxa" w:w="3168"/>
            <w:shd w:fill="F2F5F8"/>
            <w:tcMar>
              <w:top w:w="80" w:type="dxa"/>
              <w:bottom w:w="80" w:type="dxa"/>
              <w:left w:w="120" w:type="dxa"/>
              <w:right w:w="120" w:type="dxa"/>
            </w:tcMar>
          </w:tcPr>
          <w:p>
            <w:pPr>
              <w:jc w:val="center"/>
            </w:pPr>
            <w:r>
              <w:rPr>
                <w:rFonts w:ascii="Times New Roman" w:hAnsi="Times New Roman"/>
                <w:color w:val="282828"/>
                <w:sz w:val="19"/>
              </w:rPr>
              <w:t>500 MB Free Disk Space</w:t>
            </w:r>
          </w:p>
        </w:tc>
        <w:tc>
          <w:tcPr>
            <w:tcW w:type="dxa" w:w="3888"/>
            <w:shd w:fill="F2F5F8"/>
            <w:tcMar>
              <w:top w:w="80" w:type="dxa"/>
              <w:bottom w:w="80" w:type="dxa"/>
              <w:left w:w="120" w:type="dxa"/>
              <w:right w:w="120" w:type="dxa"/>
            </w:tcMar>
          </w:tcPr>
          <w:p>
            <w:pPr>
              <w:jc w:val="center"/>
            </w:pPr>
            <w:r>
              <w:rPr>
                <w:rFonts w:ascii="Times New Roman" w:hAnsi="Times New Roman"/>
                <w:color w:val="282828"/>
                <w:sz w:val="19"/>
              </w:rPr>
              <w:t>1.2 GB Available Local Disk</w:t>
            </w:r>
          </w:p>
        </w:tc>
      </w:tr>
    </w:tbl>
    <w:p/>
    <w:p>
      <w:r>
        <w:br w:type="page"/>
      </w:r>
    </w:p>
    <w:p>
      <w:pPr>
        <w:keepNext/>
        <w:spacing w:before="280" w:after="120"/>
      </w:pPr>
      <w:r>
        <w:rPr>
          <w:rFonts w:ascii="Times New Roman" w:hAnsi="Times New Roman"/>
          <w:b/>
          <w:color w:val="1F497D"/>
          <w:sz w:val="28"/>
        </w:rPr>
        <w:t>CHAPTER 6: PERFORMANCE EVALUATION AND RESULT ANALYSIS</w:t>
      </w:r>
    </w:p>
    <w:p>
      <w:pPr>
        <w:keepNext/>
        <w:spacing w:before="200" w:after="80"/>
      </w:pPr>
      <w:r>
        <w:rPr>
          <w:rFonts w:ascii="Times New Roman" w:hAnsi="Times New Roman"/>
          <w:b/>
          <w:color w:val="002060"/>
          <w:sz w:val="24"/>
        </w:rPr>
        <w:t>6.1 Evaluation Metrics Formulation</w:t>
      </w:r>
    </w:p>
    <w:p>
      <w:pPr>
        <w:spacing w:before="0" w:after="120" w:line="276" w:lineRule="auto"/>
        <w:jc w:val="both"/>
      </w:pPr>
      <w:r>
        <w:rPr>
          <w:rFonts w:ascii="Times New Roman" w:hAnsi="Times New Roman"/>
          <w:color w:val="141414"/>
          <w:sz w:val="22"/>
        </w:rPr>
        <w:t>Because student performance prediction is a multi-class classification problem characterized by moderate class imbalance (48.6% Medium, 32.9% Low, 18.5% High), standard accuracy is insufficient. We compute four rigorous statistical metrics:</w:t>
      </w:r>
    </w:p>
    <w:p>
      <w:pPr>
        <w:pStyle w:val="ListBullet"/>
        <w:spacing w:before="20" w:after="60" w:line="276" w:lineRule="auto"/>
        <w:jc w:val="both"/>
      </w:pPr>
      <w:r>
        <w:rPr>
          <w:rFonts w:ascii="Times New Roman" w:hAnsi="Times New Roman"/>
          <w:b/>
          <w:sz w:val="22"/>
        </w:rPr>
        <w:t xml:space="preserve">1. Overall Accuracy: </w:t>
      </w:r>
      <w:r>
        <w:rPr>
          <w:rFonts w:ascii="Times New Roman" w:hAnsi="Times New Roman"/>
          <w:sz w:val="22"/>
        </w:rPr>
        <w:t>Ratio of total correct predictions to total test samples: Accuracy = (TP + TN) / (TP + TN + FP + FN).</w:t>
      </w:r>
    </w:p>
    <w:p>
      <w:pPr>
        <w:pStyle w:val="ListBullet"/>
        <w:spacing w:before="20" w:after="60" w:line="276" w:lineRule="auto"/>
        <w:jc w:val="both"/>
      </w:pPr>
      <w:r>
        <w:rPr>
          <w:rFonts w:ascii="Times New Roman" w:hAnsi="Times New Roman"/>
          <w:b/>
          <w:sz w:val="22"/>
        </w:rPr>
        <w:t xml:space="preserve">2. Weighted Precision: </w:t>
      </w:r>
      <w:r>
        <w:rPr>
          <w:rFonts w:ascii="Times New Roman" w:hAnsi="Times New Roman"/>
          <w:sz w:val="22"/>
        </w:rPr>
        <w:t>Weighted average of class precision scores, measuring fidelity against false positive alerts: Precision_w = sum(w_i * TP_i / (TP_i + FP_i)).</w:t>
      </w:r>
    </w:p>
    <w:p>
      <w:pPr>
        <w:pStyle w:val="ListBullet"/>
        <w:spacing w:before="20" w:after="60" w:line="276" w:lineRule="auto"/>
        <w:jc w:val="both"/>
      </w:pPr>
      <w:r>
        <w:rPr>
          <w:rFonts w:ascii="Times New Roman" w:hAnsi="Times New Roman"/>
          <w:b/>
          <w:sz w:val="22"/>
        </w:rPr>
        <w:t xml:space="preserve">3. Weighted Recall: </w:t>
      </w:r>
      <w:r>
        <w:rPr>
          <w:rFonts w:ascii="Times New Roman" w:hAnsi="Times New Roman"/>
          <w:sz w:val="22"/>
        </w:rPr>
        <w:t>Weighted sensitivity measuring success in detecting true at-risk students: Recall_w = sum(w_i * TP_i / (TP_i + FN_i)).</w:t>
      </w:r>
    </w:p>
    <w:p>
      <w:pPr>
        <w:pStyle w:val="ListBullet"/>
        <w:spacing w:before="20" w:after="60" w:line="276" w:lineRule="auto"/>
        <w:jc w:val="both"/>
      </w:pPr>
      <w:r>
        <w:rPr>
          <w:rFonts w:ascii="Times New Roman" w:hAnsi="Times New Roman"/>
          <w:b/>
          <w:sz w:val="22"/>
        </w:rPr>
        <w:t xml:space="preserve">4. Weighted F1-Score: </w:t>
      </w:r>
      <w:r>
        <w:rPr>
          <w:rFonts w:ascii="Times New Roman" w:hAnsi="Times New Roman"/>
          <w:sz w:val="22"/>
        </w:rPr>
        <w:t>Harmonic mean of precision and recall: F1_w = 2 * (Precision_w * Recall_w) / (Precision_w + Recall_w).</w:t>
      </w:r>
    </w:p>
    <w:p>
      <w:pPr>
        <w:keepNext/>
        <w:spacing w:before="200" w:after="80"/>
      </w:pPr>
      <w:r>
        <w:rPr>
          <w:rFonts w:ascii="Times New Roman" w:hAnsi="Times New Roman"/>
          <w:b/>
          <w:color w:val="002060"/>
          <w:sz w:val="24"/>
        </w:rPr>
        <w:t>6.2 Experimental Results and Model Comparison</w:t>
      </w:r>
    </w:p>
    <w:p>
      <w:pPr>
        <w:spacing w:before="0" w:after="120" w:line="276" w:lineRule="auto"/>
        <w:jc w:val="both"/>
      </w:pPr>
      <w:r>
        <w:rPr>
          <w:rFonts w:ascii="Times New Roman" w:hAnsi="Times New Roman"/>
          <w:color w:val="141414"/>
          <w:sz w:val="22"/>
        </w:rPr>
        <w:t>Table 6.1 displays the actual experimental metrics recorded on the held-out test split (79 student instances, never exposed during training). All values were computed by train_model.py and preserved in models/model_metadata.json:</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312"/>
            <w:shd w:fill="1F497D"/>
            <w:tcMar>
              <w:top w:w="120" w:type="dxa"/>
              <w:bottom w:w="120" w:type="dxa"/>
              <w:left w:w="140" w:type="dxa"/>
              <w:right w:w="140" w:type="dxa"/>
            </w:tcMar>
          </w:tcPr>
          <w:p>
            <w:pPr>
              <w:jc w:val="center"/>
            </w:pPr>
            <w:r>
              <w:rPr>
                <w:rFonts w:ascii="Times New Roman" w:hAnsi="Times New Roman"/>
                <w:b/>
                <w:color w:val="FFFFFF"/>
                <w:sz w:val="20"/>
              </w:rPr>
              <w:t>Evaluated Model Architecture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Accuracy</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Weighted Precision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Weighted Recall</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Weighted F1-Score</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19"/>
              </w:rPr>
              <w:t>Random Forest Classifier</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0.8861 (88.61%)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0.8907 (89.07%)</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0.8861 (88.61%)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0.8868 (88.68%)</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19"/>
              </w:rPr>
              <w:t>Support Vector Machine (SVC)</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0.8228 (82.28%)</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0.8368 (83.68%)</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0.8228 (82.28%)</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0.8197 (81.97%)</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19"/>
              </w:rPr>
              <w:t>Gradient Boosting (Default)</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0.8734 (87.34%)</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0.8760 (87.60%)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0.8734 (87.34%)</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0.8741 (87.41%)</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19"/>
              </w:rPr>
              <w:t>Gradient Boosting (Optimized)*</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0.8987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0.8987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0.8987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0.8987 (89.87%)</w:t>
            </w:r>
          </w:p>
        </w:tc>
      </w:tr>
    </w:tbl>
    <w:p/>
    <w:p>
      <w:pPr>
        <w:keepNext/>
        <w:spacing w:before="200" w:after="80"/>
      </w:pPr>
      <w:r>
        <w:rPr>
          <w:rFonts w:ascii="Times New Roman" w:hAnsi="Times New Roman"/>
          <w:b/>
          <w:color w:val="002060"/>
          <w:sz w:val="24"/>
        </w:rPr>
        <w:t>6.3 Confusion Matrix Analysis (Optimized Model)</w:t>
      </w:r>
    </w:p>
    <w:p>
      <w:pPr>
        <w:spacing w:before="0" w:after="120" w:line="276" w:lineRule="auto"/>
        <w:jc w:val="both"/>
      </w:pPr>
      <w:r>
        <w:rPr>
          <w:rFonts w:ascii="Times New Roman" w:hAnsi="Times New Roman"/>
          <w:color w:val="141414"/>
          <w:sz w:val="22"/>
        </w:rPr>
        <w:t>Table 6.2 and Figure 6.1 detail the performance of the optimized Gradient Boosting Classifier across individual classes. The model achieved a flawless 100% precision, recall, and F1-score on the 'High' performance category (15/15 correct), and 85% precision/recall on the 'Low' performance category (22/26 correct):</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312"/>
            <w:shd w:fill="1F497D"/>
            <w:tcMar>
              <w:top w:w="120" w:type="dxa"/>
              <w:bottom w:w="120" w:type="dxa"/>
              <w:left w:w="140" w:type="dxa"/>
              <w:right w:w="140" w:type="dxa"/>
            </w:tcMar>
          </w:tcPr>
          <w:p>
            <w:pPr>
              <w:jc w:val="center"/>
            </w:pPr>
            <w:r>
              <w:rPr>
                <w:rFonts w:ascii="Times New Roman" w:hAnsi="Times New Roman"/>
                <w:b/>
                <w:color w:val="FFFFFF"/>
                <w:sz w:val="20"/>
              </w:rPr>
              <w:t>Class Label</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Precision</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Recall</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F1-Score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Test Support (Samples)</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19"/>
              </w:rPr>
              <w:t>Low Performance (Grade 0–9)</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0.85</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0.85</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0.85</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26</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19"/>
              </w:rPr>
              <w:t>Medium Performance (Grade 10–14)</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0.89</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38</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19"/>
              </w:rPr>
              <w:t>High Performance (Grade 15–20)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1.00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1.00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1.00</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15</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19"/>
              </w:rPr>
              <w:t>Overall Test Accuracy</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0.90 (89.87%)</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79</w:t>
            </w:r>
          </w:p>
        </w:tc>
      </w:tr>
      <w:tr>
        <w:tc>
          <w:tcPr>
            <w:tcW w:type="dxa" w:w="3312"/>
            <w:shd w:fill="FFFFFF"/>
            <w:tcMar>
              <w:top w:w="80" w:type="dxa"/>
              <w:bottom w:w="80" w:type="dxa"/>
              <w:left w:w="120" w:type="dxa"/>
              <w:right w:w="120" w:type="dxa"/>
            </w:tcMar>
          </w:tcPr>
          <w:p>
            <w:pPr>
              <w:jc w:val="left"/>
            </w:pPr>
            <w:r>
              <w:rPr>
                <w:rFonts w:ascii="Times New Roman" w:hAnsi="Times New Roman"/>
                <w:color w:val="282828"/>
                <w:sz w:val="19"/>
              </w:rPr>
              <w:t>Macro Average</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0.91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0.91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0.91</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79</w:t>
            </w:r>
          </w:p>
        </w:tc>
      </w:tr>
      <w:tr>
        <w:tc>
          <w:tcPr>
            <w:tcW w:type="dxa" w:w="3312"/>
            <w:shd w:fill="F2F5F8"/>
            <w:tcMar>
              <w:top w:w="80" w:type="dxa"/>
              <w:bottom w:w="80" w:type="dxa"/>
              <w:left w:w="120" w:type="dxa"/>
              <w:right w:w="120" w:type="dxa"/>
            </w:tcMar>
          </w:tcPr>
          <w:p>
            <w:pPr>
              <w:jc w:val="left"/>
            </w:pPr>
            <w:r>
              <w:rPr>
                <w:rFonts w:ascii="Times New Roman" w:hAnsi="Times New Roman"/>
                <w:color w:val="282828"/>
                <w:sz w:val="19"/>
              </w:rPr>
              <w:t>Weighted Average</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0.90</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0.90</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0.90</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79</w:t>
            </w:r>
          </w:p>
        </w:tc>
      </w:tr>
    </w:tbl>
    <w:p/>
    <w:p>
      <w:pPr>
        <w:spacing w:before="160" w:after="80"/>
        <w:jc w:val="center"/>
      </w:pPr>
      <w:r>
        <w:drawing>
          <wp:inline xmlns:a="http://schemas.openxmlformats.org/drawingml/2006/main" xmlns:pic="http://schemas.openxmlformats.org/drawingml/2006/picture">
            <wp:extent cx="4572000" cy="3677569"/>
            <wp:docPr id="3" name="Picture 3"/>
            <wp:cNvGraphicFramePr>
              <a:graphicFrameLocks noChangeAspect="1"/>
            </wp:cNvGraphicFramePr>
            <a:graphic>
              <a:graphicData uri="http://schemas.openxmlformats.org/drawingml/2006/picture">
                <pic:pic>
                  <pic:nvPicPr>
                    <pic:cNvPr id="0" name="confusion_matrix_best.png"/>
                    <pic:cNvPicPr/>
                  </pic:nvPicPr>
                  <pic:blipFill>
                    <a:blip r:embed="rId11"/>
                    <a:stretch>
                      <a:fillRect/>
                    </a:stretch>
                  </pic:blipFill>
                  <pic:spPr>
                    <a:xfrm>
                      <a:off x="0" y="0"/>
                      <a:ext cx="4572000" cy="3677569"/>
                    </a:xfrm>
                    <a:prstGeom prst="rect"/>
                  </pic:spPr>
                </pic:pic>
              </a:graphicData>
            </a:graphic>
          </wp:inline>
        </w:drawing>
      </w:r>
    </w:p>
    <w:p>
      <w:pPr>
        <w:spacing w:before="40" w:after="200"/>
        <w:jc w:val="center"/>
      </w:pPr>
      <w:r>
        <w:rPr>
          <w:rFonts w:ascii="Times New Roman" w:hAnsi="Times New Roman"/>
          <w:b/>
          <w:i/>
          <w:color w:val="3C3C3C"/>
          <w:sz w:val="20"/>
        </w:rPr>
        <w:t>Figure 6.1: Confusion Matrix for Optimized Gradient Boosting Classifier</w:t>
      </w:r>
    </w:p>
    <w:p>
      <w:pPr>
        <w:keepNext/>
        <w:spacing w:before="200" w:after="80"/>
      </w:pPr>
      <w:r>
        <w:rPr>
          <w:rFonts w:ascii="Times New Roman" w:hAnsi="Times New Roman"/>
          <w:b/>
          <w:color w:val="002060"/>
          <w:sz w:val="24"/>
        </w:rPr>
        <w:t>6.4 Feature Importance Interpretability</w:t>
      </w:r>
    </w:p>
    <w:p>
      <w:pPr>
        <w:spacing w:before="0" w:after="120" w:line="276" w:lineRule="auto"/>
        <w:jc w:val="both"/>
      </w:pPr>
      <w:r>
        <w:rPr>
          <w:rFonts w:ascii="Times New Roman" w:hAnsi="Times New Roman"/>
          <w:color w:val="141414"/>
          <w:sz w:val="22"/>
        </w:rPr>
        <w:t>Figure 6.2 illustrates the top 15 features ranked by Gini impurity reduction extracted directly from the fitted Gradient Boosting estimator. Formative assessments num__G2 and num__G1 represent the dominant predictive signals, followed by father's education (num__Fedu), student age, weekend alcohol consumption (num__Walc), study time, mother's education (num__Medu), and total absences. This empirical finding validates pedagogical theory: past academic trajectory is the primary determinant of future performance, reinforced by family background and attendance.</w:t>
      </w:r>
    </w:p>
    <w:p>
      <w:pPr>
        <w:spacing w:before="160" w:after="80"/>
        <w:jc w:val="center"/>
      </w:pPr>
      <w:r>
        <w:drawing>
          <wp:inline xmlns:a="http://schemas.openxmlformats.org/drawingml/2006/main" xmlns:pic="http://schemas.openxmlformats.org/drawingml/2006/picture">
            <wp:extent cx="5029200" cy="3003267"/>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029200" cy="3003267"/>
                    </a:xfrm>
                    <a:prstGeom prst="rect"/>
                  </pic:spPr>
                </pic:pic>
              </a:graphicData>
            </a:graphic>
          </wp:inline>
        </w:drawing>
      </w:r>
    </w:p>
    <w:p>
      <w:pPr>
        <w:spacing w:before="40" w:after="200"/>
        <w:jc w:val="center"/>
      </w:pPr>
      <w:r>
        <w:rPr>
          <w:rFonts w:ascii="Times New Roman" w:hAnsi="Times New Roman"/>
          <w:b/>
          <w:i/>
          <w:color w:val="3C3C3C"/>
          <w:sz w:val="20"/>
        </w:rPr>
        <w:t>Figure 6.2: Top 15 Feature Importances Ranked by Gini Impurity Gain</w:t>
      </w:r>
    </w:p>
    <w:p>
      <w:r>
        <w:br w:type="page"/>
      </w:r>
    </w:p>
    <w:p>
      <w:pPr>
        <w:keepNext/>
        <w:spacing w:before="280" w:after="120"/>
      </w:pPr>
      <w:r>
        <w:rPr>
          <w:rFonts w:ascii="Times New Roman" w:hAnsi="Times New Roman"/>
          <w:b/>
          <w:color w:val="1F497D"/>
          <w:sz w:val="28"/>
        </w:rPr>
        <w:t>CHAPTER 7: APPLICATION INTERFACE AND AUTOMATED TESTING</w:t>
      </w:r>
    </w:p>
    <w:p>
      <w:pPr>
        <w:keepNext/>
        <w:spacing w:before="200" w:after="80"/>
      </w:pPr>
      <w:r>
        <w:rPr>
          <w:rFonts w:ascii="Times New Roman" w:hAnsi="Times New Roman"/>
          <w:b/>
          <w:color w:val="002060"/>
          <w:sz w:val="24"/>
        </w:rPr>
        <w:t>7.1 Streamlit Dashboard Architecture</w:t>
      </w:r>
    </w:p>
    <w:p>
      <w:pPr>
        <w:spacing w:before="0" w:after="120" w:line="276" w:lineRule="auto"/>
        <w:jc w:val="both"/>
      </w:pPr>
      <w:r>
        <w:rPr>
          <w:rFonts w:ascii="Times New Roman" w:hAnsi="Times New Roman"/>
          <w:color w:val="141414"/>
          <w:sz w:val="22"/>
        </w:rPr>
        <w:t>In compliance with requirement 9 of AIML Assignment No. 12, a responsive Streamlit web dashboard (app.py) was built and verified. The interface incorporates six dedicated navigation views:</w:t>
        <w:br/>
        <w:t>1. Home: Overview cards displaying production accuracy (89.87%), best model identifier, and methodology overview.</w:t>
        <w:br/>
        <w:t>2. Predict Performance: Interactive graphical form allowing users to enter 32 attributes and receive immediate predictions with risk categorization.</w:t>
        <w:br/>
        <w:t>3. Model Evaluation: Comprehensive comparison tables, cross-validation metrics, confusion matrices, and hyperparameter logs.</w:t>
        <w:br/>
        <w:t>4. Visualizations: Exploratory data analysis charts including grade distributions, scatter plots, and correlation heatmaps.</w:t>
        <w:br/>
        <w:t>5. Dataset Overview: Feature dictionary, statistical summaries, and dynamic data exploration tables.</w:t>
        <w:br/>
        <w:t>6. About: Curricular assignment information, technology stack documentation, limitations, and ethical AI disclaimers.</w:t>
      </w:r>
    </w:p>
    <w:p>
      <w:pPr>
        <w:keepNext/>
        <w:spacing w:before="200" w:after="80"/>
      </w:pPr>
      <w:r>
        <w:rPr>
          <w:rFonts w:ascii="Times New Roman" w:hAnsi="Times New Roman"/>
          <w:b/>
          <w:color w:val="002060"/>
          <w:sz w:val="24"/>
        </w:rPr>
        <w:t>7.2 Application Screenshots and Interface Demonstration</w:t>
      </w:r>
    </w:p>
    <w:p>
      <w:pPr>
        <w:spacing w:before="0" w:after="120" w:line="276" w:lineRule="auto"/>
        <w:jc w:val="both"/>
      </w:pPr>
      <w:r>
        <w:rPr>
          <w:rFonts w:ascii="Times New Roman" w:hAnsi="Times New Roman"/>
          <w:color w:val="141414"/>
          <w:sz w:val="22"/>
        </w:rPr>
        <w:t>Figures 7.1 and 7.2 present genuine visual captures of the active EduPredict AI application running on the local development host:</w:t>
      </w:r>
    </w:p>
    <w:p>
      <w:pPr>
        <w:spacing w:before="160" w:after="80"/>
        <w:jc w:val="center"/>
      </w:pPr>
      <w:r>
        <w:drawing>
          <wp:inline xmlns:a="http://schemas.openxmlformats.org/drawingml/2006/main" xmlns:pic="http://schemas.openxmlformats.org/drawingml/2006/picture">
            <wp:extent cx="5029200" cy="3040227"/>
            <wp:docPr id="5" name="Picture 5"/>
            <wp:cNvGraphicFramePr>
              <a:graphicFrameLocks noChangeAspect="1"/>
            </wp:cNvGraphicFramePr>
            <a:graphic>
              <a:graphicData uri="http://schemas.openxmlformats.org/drawingml/2006/picture">
                <pic:pic>
                  <pic:nvPicPr>
                    <pic:cNvPr id="0" name="app_screenshot_home.png"/>
                    <pic:cNvPicPr/>
                  </pic:nvPicPr>
                  <pic:blipFill>
                    <a:blip r:embed="rId13"/>
                    <a:stretch>
                      <a:fillRect/>
                    </a:stretch>
                  </pic:blipFill>
                  <pic:spPr>
                    <a:xfrm>
                      <a:off x="0" y="0"/>
                      <a:ext cx="5029200" cy="3040227"/>
                    </a:xfrm>
                    <a:prstGeom prst="rect"/>
                  </pic:spPr>
                </pic:pic>
              </a:graphicData>
            </a:graphic>
          </wp:inline>
        </w:drawing>
      </w:r>
    </w:p>
    <w:p>
      <w:pPr>
        <w:spacing w:before="40" w:after="200"/>
        <w:jc w:val="center"/>
      </w:pPr>
      <w:r>
        <w:rPr>
          <w:rFonts w:ascii="Times New Roman" w:hAnsi="Times New Roman"/>
          <w:b/>
          <w:i/>
          <w:color w:val="3C3C3C"/>
          <w:sz w:val="20"/>
        </w:rPr>
        <w:t>Figure 7.1: Streamlit Home Interface Displaying Verified Production Metrics</w:t>
      </w:r>
    </w:p>
    <w:p>
      <w:pPr>
        <w:spacing w:before="160" w:after="80"/>
        <w:jc w:val="center"/>
      </w:pPr>
      <w:r>
        <w:drawing>
          <wp:inline xmlns:a="http://schemas.openxmlformats.org/drawingml/2006/main" xmlns:pic="http://schemas.openxmlformats.org/drawingml/2006/picture">
            <wp:extent cx="5029200" cy="3098559"/>
            <wp:docPr id="6" name="Picture 6"/>
            <wp:cNvGraphicFramePr>
              <a:graphicFrameLocks noChangeAspect="1"/>
            </wp:cNvGraphicFramePr>
            <a:graphic>
              <a:graphicData uri="http://schemas.openxmlformats.org/drawingml/2006/picture">
                <pic:pic>
                  <pic:nvPicPr>
                    <pic:cNvPr id="0" name="app_screenshot_predict.png"/>
                    <pic:cNvPicPr/>
                  </pic:nvPicPr>
                  <pic:blipFill>
                    <a:blip r:embed="rId14"/>
                    <a:stretch>
                      <a:fillRect/>
                    </a:stretch>
                  </pic:blipFill>
                  <pic:spPr>
                    <a:xfrm>
                      <a:off x="0" y="0"/>
                      <a:ext cx="5029200" cy="3098559"/>
                    </a:xfrm>
                    <a:prstGeom prst="rect"/>
                  </pic:spPr>
                </pic:pic>
              </a:graphicData>
            </a:graphic>
          </wp:inline>
        </w:drawing>
      </w:r>
    </w:p>
    <w:p>
      <w:pPr>
        <w:spacing w:before="40" w:after="200"/>
        <w:jc w:val="center"/>
      </w:pPr>
      <w:r>
        <w:rPr>
          <w:rFonts w:ascii="Times New Roman" w:hAnsi="Times New Roman"/>
          <w:b/>
          <w:i/>
          <w:color w:val="3C3C3C"/>
          <w:sz w:val="20"/>
        </w:rPr>
        <w:t>Figure 7.2: Interactive Inference Form and Risk Assessment Output Screen</w:t>
      </w:r>
    </w:p>
    <w:p>
      <w:pPr>
        <w:keepNext/>
        <w:spacing w:before="200" w:after="80"/>
      </w:pPr>
      <w:r>
        <w:rPr>
          <w:rFonts w:ascii="Times New Roman" w:hAnsi="Times New Roman"/>
          <w:b/>
          <w:color w:val="002060"/>
          <w:sz w:val="24"/>
        </w:rPr>
        <w:t>7.3 Automated Test Suite Execution (Pytest)</w:t>
      </w:r>
    </w:p>
    <w:p>
      <w:pPr>
        <w:spacing w:before="0" w:after="120" w:line="276" w:lineRule="auto"/>
        <w:jc w:val="both"/>
      </w:pPr>
      <w:r>
        <w:rPr>
          <w:rFonts w:ascii="Times New Roman" w:hAnsi="Times New Roman"/>
          <w:color w:val="141414"/>
          <w:sz w:val="22"/>
        </w:rPr>
        <w:t>To satisfy requirement 13 and guarantee software quality, an automated unit test suite was implemented using pytest across two test modules:</w:t>
        <w:br/>
        <w:t>1. tests/test_preprocessing.py (15 unit tests): Validates boundary binning in categorize_grade(), missing value imputation, duplicate removal, and ColumnTransformer dimensionality invariance.</w:t>
        <w:br/>
        <w:t>2. tests/test_predictor.py (17 unit tests): Validates model loading, schema conformance, risk dictionary mapping, probability normalization, and inference behavior on boundary student cases.</w:t>
      </w:r>
    </w:p>
    <w:tbl>
      <w:tblPr>
        <w:tblW w:type="auto" w:w="0"/>
        <w:jc w:val="center"/>
        <w:tblLayout w:type="fixed"/>
        <w:tblLook w:firstColumn="1" w:firstRow="1" w:lastColumn="0" w:lastRow="0" w:noHBand="0" w:noVBand="1" w:val="04A0"/>
      </w:tblPr>
      <w:tblGrid>
        <w:gridCol w:w="1500"/>
        <w:gridCol w:w="1500"/>
        <w:gridCol w:w="1500"/>
        <w:gridCol w:w="1500"/>
        <w:gridCol w:w="1500"/>
        <w:gridCol w:w="1500"/>
      </w:tblGrid>
      <w:tr>
        <w:tc>
          <w:tcPr>
            <w:tcW w:type="dxa" w:w="3168"/>
            <w:shd w:fill="1F497D"/>
            <w:tcMar>
              <w:top w:w="120" w:type="dxa"/>
              <w:bottom w:w="120" w:type="dxa"/>
              <w:left w:w="140" w:type="dxa"/>
              <w:right w:w="140" w:type="dxa"/>
            </w:tcMar>
          </w:tcPr>
          <w:p>
            <w:pPr>
              <w:jc w:val="center"/>
            </w:pPr>
            <w:r>
              <w:rPr>
                <w:rFonts w:ascii="Times New Roman" w:hAnsi="Times New Roman"/>
                <w:b/>
                <w:color w:val="FFFFFF"/>
                <w:sz w:val="20"/>
              </w:rPr>
              <w:t>Test Module</w:t>
            </w:r>
          </w:p>
        </w:tc>
        <w:tc>
          <w:tcPr>
            <w:tcW w:type="dxa" w:w="1584"/>
            <w:shd w:fill="1F497D"/>
            <w:tcMar>
              <w:top w:w="120" w:type="dxa"/>
              <w:bottom w:w="120" w:type="dxa"/>
              <w:left w:w="140" w:type="dxa"/>
              <w:right w:w="140" w:type="dxa"/>
            </w:tcMar>
          </w:tcPr>
          <w:p>
            <w:pPr>
              <w:jc w:val="center"/>
            </w:pPr>
            <w:r>
              <w:rPr>
                <w:rFonts w:ascii="Times New Roman" w:hAnsi="Times New Roman"/>
                <w:b/>
                <w:color w:val="FFFFFF"/>
                <w:sz w:val="20"/>
              </w:rPr>
              <w:t>Test Cases Executed</w:t>
            </w:r>
          </w:p>
        </w:tc>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Passing Count</w:t>
            </w:r>
          </w:p>
        </w:tc>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Failing Count</w:t>
            </w:r>
          </w:p>
        </w:tc>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Execution Duration</w:t>
            </w:r>
          </w:p>
        </w:tc>
        <w:tc>
          <w:tcPr>
            <w:tcW w:type="dxa" w:w="1440"/>
            <w:shd w:fill="1F497D"/>
            <w:tcMar>
              <w:top w:w="120" w:type="dxa"/>
              <w:bottom w:w="120" w:type="dxa"/>
              <w:left w:w="140" w:type="dxa"/>
              <w:right w:w="140" w:type="dxa"/>
            </w:tcMar>
          </w:tcPr>
          <w:p>
            <w:pPr>
              <w:jc w:val="center"/>
            </w:pPr>
            <w:r>
              <w:rPr>
                <w:rFonts w:ascii="Times New Roman" w:hAnsi="Times New Roman"/>
                <w:b/>
                <w:color w:val="FFFFFF"/>
                <w:sz w:val="20"/>
              </w:rPr>
              <w:t>Status</w:t>
            </w:r>
          </w:p>
        </w:tc>
      </w:tr>
      <w:tr>
        <w:tc>
          <w:tcPr>
            <w:tcW w:type="dxa" w:w="3168"/>
            <w:shd w:fill="FFFFFF"/>
            <w:tcMar>
              <w:top w:w="80" w:type="dxa"/>
              <w:bottom w:w="80" w:type="dxa"/>
              <w:left w:w="120" w:type="dxa"/>
              <w:right w:w="120" w:type="dxa"/>
            </w:tcMar>
          </w:tcPr>
          <w:p>
            <w:pPr>
              <w:jc w:val="left"/>
            </w:pPr>
            <w:r>
              <w:rPr>
                <w:rFonts w:ascii="Times New Roman" w:hAnsi="Times New Roman"/>
                <w:color w:val="282828"/>
                <w:sz w:val="19"/>
              </w:rPr>
              <w:t>tests/test_preprocessing.py</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15 Tests</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15 Passed</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0 Failed</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1.42s</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100% PASSED</w:t>
            </w:r>
          </w:p>
        </w:tc>
      </w:tr>
      <w:tr>
        <w:tc>
          <w:tcPr>
            <w:tcW w:type="dxa" w:w="3168"/>
            <w:shd w:fill="F2F5F8"/>
            <w:tcMar>
              <w:top w:w="80" w:type="dxa"/>
              <w:bottom w:w="80" w:type="dxa"/>
              <w:left w:w="120" w:type="dxa"/>
              <w:right w:w="120" w:type="dxa"/>
            </w:tcMar>
          </w:tcPr>
          <w:p>
            <w:pPr>
              <w:jc w:val="left"/>
            </w:pPr>
            <w:r>
              <w:rPr>
                <w:rFonts w:ascii="Times New Roman" w:hAnsi="Times New Roman"/>
                <w:color w:val="282828"/>
                <w:sz w:val="19"/>
              </w:rPr>
              <w:t>tests/test_predictor.py</w:t>
            </w:r>
          </w:p>
        </w:tc>
        <w:tc>
          <w:tcPr>
            <w:tcW w:type="dxa" w:w="1584"/>
            <w:shd w:fill="F2F5F8"/>
            <w:tcMar>
              <w:top w:w="80" w:type="dxa"/>
              <w:bottom w:w="80" w:type="dxa"/>
              <w:left w:w="120" w:type="dxa"/>
              <w:right w:w="120" w:type="dxa"/>
            </w:tcMar>
          </w:tcPr>
          <w:p>
            <w:pPr>
              <w:jc w:val="center"/>
            </w:pPr>
            <w:r>
              <w:rPr>
                <w:rFonts w:ascii="Times New Roman" w:hAnsi="Times New Roman"/>
                <w:color w:val="282828"/>
                <w:sz w:val="19"/>
              </w:rPr>
              <w:t>17 Tests</w:t>
            </w:r>
          </w:p>
        </w:tc>
        <w:tc>
          <w:tcPr>
            <w:tcW w:type="dxa" w:w="1440"/>
            <w:shd w:fill="F2F5F8"/>
            <w:tcMar>
              <w:top w:w="80" w:type="dxa"/>
              <w:bottom w:w="80" w:type="dxa"/>
              <w:left w:w="120" w:type="dxa"/>
              <w:right w:w="120" w:type="dxa"/>
            </w:tcMar>
          </w:tcPr>
          <w:p>
            <w:pPr>
              <w:jc w:val="center"/>
            </w:pPr>
            <w:r>
              <w:rPr>
                <w:rFonts w:ascii="Times New Roman" w:hAnsi="Times New Roman"/>
                <w:color w:val="282828"/>
                <w:sz w:val="19"/>
              </w:rPr>
              <w:t>17 Passed</w:t>
            </w:r>
          </w:p>
        </w:tc>
        <w:tc>
          <w:tcPr>
            <w:tcW w:type="dxa" w:w="1440"/>
            <w:shd w:fill="F2F5F8"/>
            <w:tcMar>
              <w:top w:w="80" w:type="dxa"/>
              <w:bottom w:w="80" w:type="dxa"/>
              <w:left w:w="120" w:type="dxa"/>
              <w:right w:w="120" w:type="dxa"/>
            </w:tcMar>
          </w:tcPr>
          <w:p>
            <w:pPr>
              <w:jc w:val="center"/>
            </w:pPr>
            <w:r>
              <w:rPr>
                <w:rFonts w:ascii="Times New Roman" w:hAnsi="Times New Roman"/>
                <w:color w:val="282828"/>
                <w:sz w:val="19"/>
              </w:rPr>
              <w:t>0 Failed</w:t>
            </w:r>
          </w:p>
        </w:tc>
        <w:tc>
          <w:tcPr>
            <w:tcW w:type="dxa" w:w="1440"/>
            <w:shd w:fill="F2F5F8"/>
            <w:tcMar>
              <w:top w:w="80" w:type="dxa"/>
              <w:bottom w:w="80" w:type="dxa"/>
              <w:left w:w="120" w:type="dxa"/>
              <w:right w:w="120" w:type="dxa"/>
            </w:tcMar>
          </w:tcPr>
          <w:p>
            <w:pPr>
              <w:jc w:val="center"/>
            </w:pPr>
            <w:r>
              <w:rPr>
                <w:rFonts w:ascii="Times New Roman" w:hAnsi="Times New Roman"/>
                <w:color w:val="282828"/>
                <w:sz w:val="19"/>
              </w:rPr>
              <w:t>1.74s</w:t>
            </w:r>
          </w:p>
        </w:tc>
        <w:tc>
          <w:tcPr>
            <w:tcW w:type="dxa" w:w="1440"/>
            <w:shd w:fill="F2F5F8"/>
            <w:tcMar>
              <w:top w:w="80" w:type="dxa"/>
              <w:bottom w:w="80" w:type="dxa"/>
              <w:left w:w="120" w:type="dxa"/>
              <w:right w:w="120" w:type="dxa"/>
            </w:tcMar>
          </w:tcPr>
          <w:p>
            <w:pPr>
              <w:jc w:val="center"/>
            </w:pPr>
            <w:r>
              <w:rPr>
                <w:rFonts w:ascii="Times New Roman" w:hAnsi="Times New Roman"/>
                <w:color w:val="282828"/>
                <w:sz w:val="19"/>
              </w:rPr>
              <w:t>100% PASSED</w:t>
            </w:r>
          </w:p>
        </w:tc>
      </w:tr>
      <w:tr>
        <w:tc>
          <w:tcPr>
            <w:tcW w:type="dxa" w:w="3168"/>
            <w:shd w:fill="FFFFFF"/>
            <w:tcMar>
              <w:top w:w="80" w:type="dxa"/>
              <w:bottom w:w="80" w:type="dxa"/>
              <w:left w:w="120" w:type="dxa"/>
              <w:right w:w="120" w:type="dxa"/>
            </w:tcMar>
          </w:tcPr>
          <w:p>
            <w:pPr>
              <w:jc w:val="left"/>
            </w:pPr>
            <w:r>
              <w:rPr>
                <w:rFonts w:ascii="Times New Roman" w:hAnsi="Times New Roman"/>
                <w:color w:val="282828"/>
                <w:sz w:val="19"/>
              </w:rPr>
              <w:t>Total Test Suite</w:t>
            </w:r>
          </w:p>
        </w:tc>
        <w:tc>
          <w:tcPr>
            <w:tcW w:type="dxa" w:w="1584"/>
            <w:shd w:fill="FFFFFF"/>
            <w:tcMar>
              <w:top w:w="80" w:type="dxa"/>
              <w:bottom w:w="80" w:type="dxa"/>
              <w:left w:w="120" w:type="dxa"/>
              <w:right w:w="120" w:type="dxa"/>
            </w:tcMar>
          </w:tcPr>
          <w:p>
            <w:pPr>
              <w:jc w:val="center"/>
            </w:pPr>
            <w:r>
              <w:rPr>
                <w:rFonts w:ascii="Times New Roman" w:hAnsi="Times New Roman"/>
                <w:color w:val="282828"/>
                <w:sz w:val="19"/>
              </w:rPr>
              <w:t>32 Tests</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32 Passed</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0 Failed</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3.16s</w:t>
            </w:r>
          </w:p>
        </w:tc>
        <w:tc>
          <w:tcPr>
            <w:tcW w:type="dxa" w:w="1440"/>
            <w:shd w:fill="FFFFFF"/>
            <w:tcMar>
              <w:top w:w="80" w:type="dxa"/>
              <w:bottom w:w="80" w:type="dxa"/>
              <w:left w:w="120" w:type="dxa"/>
              <w:right w:w="120" w:type="dxa"/>
            </w:tcMar>
          </w:tcPr>
          <w:p>
            <w:pPr>
              <w:jc w:val="center"/>
            </w:pPr>
            <w:r>
              <w:rPr>
                <w:rFonts w:ascii="Times New Roman" w:hAnsi="Times New Roman"/>
                <w:color w:val="282828"/>
                <w:sz w:val="19"/>
              </w:rPr>
              <w:t>VERIFIED SUCCESS</w:t>
            </w:r>
          </w:p>
        </w:tc>
      </w:tr>
    </w:tbl>
    <w:p/>
    <w:p>
      <w:r>
        <w:br w:type="page"/>
      </w:r>
    </w:p>
    <w:p>
      <w:pPr>
        <w:keepNext/>
        <w:spacing w:before="280" w:after="120"/>
      </w:pPr>
      <w:r>
        <w:rPr>
          <w:rFonts w:ascii="Times New Roman" w:hAnsi="Times New Roman"/>
          <w:b/>
          <w:color w:val="1F497D"/>
          <w:sz w:val="28"/>
        </w:rPr>
        <w:t>CHAPTER 8: CONCLUSION AND FUTURE SCOPE</w:t>
      </w:r>
    </w:p>
    <w:p>
      <w:pPr>
        <w:keepNext/>
        <w:spacing w:before="200" w:after="80"/>
      </w:pPr>
      <w:r>
        <w:rPr>
          <w:rFonts w:ascii="Times New Roman" w:hAnsi="Times New Roman"/>
          <w:b/>
          <w:color w:val="002060"/>
          <w:sz w:val="24"/>
        </w:rPr>
        <w:t>8.1 Conclusion and Key Insights</w:t>
      </w:r>
    </w:p>
    <w:p>
      <w:pPr>
        <w:spacing w:before="0" w:after="120" w:line="276" w:lineRule="auto"/>
        <w:jc w:val="both"/>
      </w:pPr>
      <w:r>
        <w:rPr>
          <w:rFonts w:ascii="Times New Roman" w:hAnsi="Times New Roman"/>
          <w:color w:val="141414"/>
          <w:sz w:val="22"/>
        </w:rPr>
        <w:t>EduPredict AI successfully fulfills all academic, curricular, and technical objectives stipulated by SPPU AIML Assignment No. 12 (TE Information Technology, 2024 Pattern). Key accomplishments include:</w:t>
        <w:br/>
        <w:t>• Acquisition and characterization of the genuine UCI Student Performance dataset (395 records, 33 attributes).</w:t>
        <w:br/>
        <w:t>• Construction of a leak-free scikit-learn ColumnTransformer pipeline incorporating numerical standardization and categorical encoding.</w:t>
        <w:br/>
        <w:t>• Rigorous 5-fold cross-validation benchmarking across Random Forest (85.75%), SVM (79.10%), and Gradient Boosting (88.92%).</w:t>
        <w:br/>
        <w:t>• Systematic hyperparameter optimization via GridSearchCV, culminating in an uncompromised test set accuracy of 89.87% (F1: 89.87%).</w:t>
        <w:br/>
        <w:t>• Production serialization of the model pipeline and deployment via a multi-page interactive Streamlit dashboard.</w:t>
        <w:br/>
        <w:t>• 100% automated test verification across 32 unit tests.</w:t>
      </w:r>
    </w:p>
    <w:p>
      <w:pPr>
        <w:keepNext/>
        <w:spacing w:before="200" w:after="80"/>
      </w:pPr>
      <w:r>
        <w:rPr>
          <w:rFonts w:ascii="Times New Roman" w:hAnsi="Times New Roman"/>
          <w:b/>
          <w:color w:val="002060"/>
          <w:sz w:val="24"/>
        </w:rPr>
        <w:t>8.2 Ethical AI Disclaimer &amp; Practical Limitations</w:t>
      </w:r>
    </w:p>
    <w:p>
      <w:pPr>
        <w:spacing w:before="0" w:after="120" w:line="276" w:lineRule="auto"/>
        <w:jc w:val="both"/>
      </w:pPr>
      <w:r>
        <w:rPr>
          <w:rFonts w:ascii="Times New Roman" w:hAnsi="Times New Roman"/>
          <w:color w:val="141414"/>
          <w:sz w:val="22"/>
        </w:rPr>
        <w:t>Algorithmic Transparency &amp; Ethical Use: EduPredict AI is designed strictly as an assistive decision-support tool for academic educators, class teachers, and institutional mentors. Inferences generated by the system represent statistical probabilistic estimates based on historical empirical data. They do not constitute immutable or punitive assessments of student intelligence, potential, or character. Academic institutions must combine model alerts with qualitative faculty assessments and empathetic mentoring.</w:t>
        <w:br/>
        <w:br/>
        <w:t>Limitations: The training corpus comprises 395 records from Portuguese secondary institutions. Variations in curriculum standards, socio-economic backgrounds, and institutional grading policies necessitate domain adaptation and fine-tuning before deployment in diverse engineering college contexts.</w:t>
      </w:r>
    </w:p>
    <w:p>
      <w:pPr>
        <w:keepNext/>
        <w:spacing w:before="200" w:after="80"/>
      </w:pPr>
      <w:r>
        <w:rPr>
          <w:rFonts w:ascii="Times New Roman" w:hAnsi="Times New Roman"/>
          <w:b/>
          <w:color w:val="002060"/>
          <w:sz w:val="24"/>
        </w:rPr>
        <w:t>8.3 Future Research and Expansion Directions</w:t>
      </w:r>
    </w:p>
    <w:p>
      <w:pPr>
        <w:spacing w:before="0" w:after="120" w:line="276" w:lineRule="auto"/>
        <w:jc w:val="both"/>
      </w:pPr>
      <w:r>
        <w:rPr>
          <w:rFonts w:ascii="Times New Roman" w:hAnsi="Times New Roman"/>
          <w:color w:val="141414"/>
          <w:sz w:val="22"/>
        </w:rPr>
        <w:t>Prospective enhancements to the system include:</w:t>
      </w:r>
    </w:p>
    <w:p>
      <w:pPr>
        <w:pStyle w:val="ListBullet"/>
        <w:spacing w:before="20" w:after="60" w:line="276" w:lineRule="auto"/>
        <w:jc w:val="both"/>
      </w:pPr>
      <w:r>
        <w:rPr>
          <w:rFonts w:ascii="Times New Roman" w:hAnsi="Times New Roman"/>
          <w:b/>
          <w:sz w:val="22"/>
        </w:rPr>
        <w:t xml:space="preserve">1. Enterprise LMS Integration: </w:t>
      </w:r>
      <w:r>
        <w:rPr>
          <w:rFonts w:ascii="Times New Roman" w:hAnsi="Times New Roman"/>
          <w:sz w:val="22"/>
        </w:rPr>
        <w:t>Develop automated REST API webhooks connecting EduPredict AI directly to institutional ERP/LMS databases (e.g., Moodle, Canvas, ERP portals) for continuous real-time data ingestion.</w:t>
      </w:r>
    </w:p>
    <w:p>
      <w:pPr>
        <w:pStyle w:val="ListBullet"/>
        <w:spacing w:before="20" w:after="60" w:line="276" w:lineRule="auto"/>
        <w:jc w:val="both"/>
      </w:pPr>
      <w:r>
        <w:rPr>
          <w:rFonts w:ascii="Times New Roman" w:hAnsi="Times New Roman"/>
          <w:b/>
          <w:sz w:val="22"/>
        </w:rPr>
        <w:t xml:space="preserve">2. Explainable AI (XAI) Integration: </w:t>
      </w:r>
      <w:r>
        <w:rPr>
          <w:rFonts w:ascii="Times New Roman" w:hAnsi="Times New Roman"/>
          <w:sz w:val="22"/>
        </w:rPr>
        <w:t>Incorporate SHAP (Shapley Additive exPlanations) and LIME to generate individualized waterfall plots explaining the specific factors driving each student's risk score.</w:t>
      </w:r>
    </w:p>
    <w:p>
      <w:pPr>
        <w:pStyle w:val="ListBullet"/>
        <w:spacing w:before="20" w:after="60" w:line="276" w:lineRule="auto"/>
        <w:jc w:val="both"/>
      </w:pPr>
      <w:r>
        <w:rPr>
          <w:rFonts w:ascii="Times New Roman" w:hAnsi="Times New Roman"/>
          <w:b/>
          <w:sz w:val="22"/>
        </w:rPr>
        <w:t xml:space="preserve">3. Multi-Task Deep Learning: </w:t>
      </w:r>
      <w:r>
        <w:rPr>
          <w:rFonts w:ascii="Times New Roman" w:hAnsi="Times New Roman"/>
          <w:sz w:val="22"/>
        </w:rPr>
        <w:t>Investigate multi-task deep neural networks capable of simultaneously predicting discrete risk categories and exact numerical exam scores via joint loss optimization.</w:t>
      </w:r>
    </w:p>
    <w:p>
      <w:pPr>
        <w:pStyle w:val="ListBullet"/>
        <w:spacing w:before="20" w:after="60" w:line="276" w:lineRule="auto"/>
        <w:jc w:val="both"/>
      </w:pPr>
      <w:r>
        <w:rPr>
          <w:rFonts w:ascii="Times New Roman" w:hAnsi="Times New Roman"/>
          <w:b/>
          <w:sz w:val="22"/>
        </w:rPr>
        <w:t xml:space="preserve">4. Longitudinal Time-Series Tracking: </w:t>
      </w:r>
      <w:r>
        <w:rPr>
          <w:rFonts w:ascii="Times New Roman" w:hAnsi="Times New Roman"/>
          <w:sz w:val="22"/>
        </w:rPr>
        <w:t>Incorporate Recurrent Neural Networks (LSTM/GRU) or Temporal Transformers to model multi-semester academic trajectories and dynamic performance trends.</w:t>
      </w:r>
    </w:p>
    <w:p>
      <w:r>
        <w:br w:type="page"/>
      </w:r>
    </w:p>
    <w:p>
      <w:pPr>
        <w:keepNext/>
        <w:spacing w:before="280" w:after="120"/>
      </w:pPr>
      <w:r>
        <w:rPr>
          <w:rFonts w:ascii="Times New Roman" w:hAnsi="Times New Roman"/>
          <w:b/>
          <w:color w:val="1F497D"/>
          <w:sz w:val="28"/>
        </w:rPr>
        <w:t>REFERENCES</w:t>
      </w:r>
    </w:p>
    <w:p>
      <w:pPr>
        <w:spacing w:before="60" w:after="80"/>
        <w:ind w:left="576" w:hanging="576"/>
      </w:pPr>
      <w:r>
        <w:rPr>
          <w:rFonts w:ascii="Times New Roman" w:hAnsi="Times New Roman"/>
          <w:b/>
          <w:sz w:val="20"/>
        </w:rPr>
        <w:t xml:space="preserve">[1] </w:t>
      </w:r>
      <w:r>
        <w:rPr>
          <w:rFonts w:ascii="Times New Roman" w:hAnsi="Times New Roman"/>
          <w:sz w:val="20"/>
        </w:rPr>
        <w:t>P. Cortez and A. Silva, “Using Data Mining to Predict Secondary School Student Performance,” in Proc. 5th FUture BUsiness TEChnology Conference (FUBUTEC 2008), Porto, Portugal, pp. 5–12, EUROSIS, ISBN 978-9077381-39-7, 2008.</w:t>
      </w:r>
    </w:p>
    <w:p>
      <w:pPr>
        <w:spacing w:before="60" w:after="80"/>
        <w:ind w:left="576" w:hanging="576"/>
      </w:pPr>
      <w:r>
        <w:rPr>
          <w:rFonts w:ascii="Times New Roman" w:hAnsi="Times New Roman"/>
          <w:b/>
          <w:sz w:val="20"/>
        </w:rPr>
        <w:t xml:space="preserve">[2] </w:t>
      </w:r>
      <w:r>
        <w:rPr>
          <w:rFonts w:ascii="Times New Roman" w:hAnsi="Times New Roman"/>
          <w:sz w:val="20"/>
        </w:rPr>
        <w:t>UCI Machine Learning Repository, “Student Performance Data Set,” School of Information and Computer Sciences, University of California, Irvine, 2014. [Online]. Available: https://archive.ics.uci.edu/ml/datasets/Student+Performance.</w:t>
      </w:r>
    </w:p>
    <w:p>
      <w:pPr>
        <w:spacing w:before="60" w:after="80"/>
        <w:ind w:left="576" w:hanging="576"/>
      </w:pPr>
      <w:r>
        <w:rPr>
          <w:rFonts w:ascii="Times New Roman" w:hAnsi="Times New Roman"/>
          <w:b/>
          <w:sz w:val="20"/>
        </w:rPr>
        <w:t xml:space="preserve">[3] </w:t>
      </w:r>
      <w:r>
        <w:rPr>
          <w:rFonts w:ascii="Times New Roman" w:hAnsi="Times New Roman"/>
          <w:sz w:val="20"/>
        </w:rPr>
        <w:t>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p>
      <w:pPr>
        <w:spacing w:before="60" w:after="80"/>
        <w:ind w:left="576" w:hanging="576"/>
      </w:pPr>
      <w:r>
        <w:rPr>
          <w:rFonts w:ascii="Times New Roman" w:hAnsi="Times New Roman"/>
          <w:b/>
          <w:sz w:val="20"/>
        </w:rPr>
        <w:t xml:space="preserve">[4] </w:t>
      </w:r>
      <w:r>
        <w:rPr>
          <w:rFonts w:ascii="Times New Roman" w:hAnsi="Times New Roman"/>
          <w:sz w:val="20"/>
        </w:rPr>
        <w:t>W. McKinney, “Data Structures for Statistical Computing in Python,” in Proc. 9th Python in Science Conference (SciPy 2010), pp. 51–56, 2010.</w:t>
      </w:r>
    </w:p>
    <w:p>
      <w:pPr>
        <w:spacing w:before="60" w:after="80"/>
        <w:ind w:left="576" w:hanging="576"/>
      </w:pPr>
      <w:r>
        <w:rPr>
          <w:rFonts w:ascii="Times New Roman" w:hAnsi="Times New Roman"/>
          <w:b/>
          <w:sz w:val="20"/>
        </w:rPr>
        <w:t xml:space="preserve">[5] </w:t>
      </w:r>
      <w:r>
        <w:rPr>
          <w:rFonts w:ascii="Times New Roman" w:hAnsi="Times New Roman"/>
          <w:sz w:val="20"/>
        </w:rPr>
        <w:t>L. Breiman, “Random Forests,” Machine Learning, vol. 45, no. 1, pp. 5–32, 2001.</w:t>
      </w:r>
    </w:p>
    <w:p>
      <w:pPr>
        <w:spacing w:before="60" w:after="80"/>
        <w:ind w:left="576" w:hanging="576"/>
      </w:pPr>
      <w:r>
        <w:rPr>
          <w:rFonts w:ascii="Times New Roman" w:hAnsi="Times New Roman"/>
          <w:b/>
          <w:sz w:val="20"/>
        </w:rPr>
        <w:t xml:space="preserve">[6] </w:t>
      </w:r>
      <w:r>
        <w:rPr>
          <w:rFonts w:ascii="Times New Roman" w:hAnsi="Times New Roman"/>
          <w:sz w:val="20"/>
        </w:rPr>
        <w:t>J. H. Friedman, “Greedy Function Approximation: A Gradient Boosting Machine,” Annals of Statistics, vol. 29, no. 5, pp. 1189–1232, 2001.</w:t>
      </w:r>
    </w:p>
    <w:p>
      <w:pPr>
        <w:spacing w:before="60" w:after="80"/>
        <w:ind w:left="576" w:hanging="576"/>
      </w:pPr>
      <w:r>
        <w:rPr>
          <w:rFonts w:ascii="Times New Roman" w:hAnsi="Times New Roman"/>
          <w:b/>
          <w:sz w:val="20"/>
        </w:rPr>
        <w:t xml:space="preserve">[7] </w:t>
      </w:r>
      <w:r>
        <w:rPr>
          <w:rFonts w:ascii="Times New Roman" w:hAnsi="Times New Roman"/>
          <w:sz w:val="20"/>
        </w:rPr>
        <w:t>C. Cortes and V. Vapnik, “Support-Vector Networks,” Machine Learning, vol. 20, no. 3, pp. 273–297, 1995.</w:t>
      </w:r>
    </w:p>
    <w:p>
      <w:pPr>
        <w:spacing w:before="60" w:after="80"/>
        <w:ind w:left="576" w:hanging="576"/>
      </w:pPr>
      <w:r>
        <w:rPr>
          <w:rFonts w:ascii="Times New Roman" w:hAnsi="Times New Roman"/>
          <w:b/>
          <w:sz w:val="20"/>
        </w:rPr>
        <w:t xml:space="preserve">[8] </w:t>
      </w:r>
      <w:r>
        <w:rPr>
          <w:rFonts w:ascii="Times New Roman" w:hAnsi="Times New Roman"/>
          <w:sz w:val="20"/>
        </w:rPr>
        <w:t>Streamlit Inc., “Streamlit: The fastest way to build and share data apps,” Official Documentation, 2024. [Online]. Available: https://docs.streamlit.io.</w:t>
      </w:r>
    </w:p>
    <w:p>
      <w:pPr>
        <w:spacing w:before="60" w:after="80"/>
        <w:ind w:left="576" w:hanging="576"/>
      </w:pPr>
      <w:r>
        <w:rPr>
          <w:rFonts w:ascii="Times New Roman" w:hAnsi="Times New Roman"/>
          <w:b/>
          <w:sz w:val="20"/>
        </w:rPr>
        <w:t xml:space="preserve">[9] </w:t>
      </w:r>
      <w:r>
        <w:rPr>
          <w:rFonts w:ascii="Times New Roman" w:hAnsi="Times New Roman"/>
          <w:sz w:val="20"/>
        </w:rPr>
        <w:t>Savitribai Phule Pune University (SPPU), “Third Year Information Technology (TE IT) Course Curriculum &amp; Laboratory Manual (2024 Pattern),” Department of Information Technology, Savitribai Phule Pune University, Pune, 2024.</w:t>
      </w:r>
    </w:p>
    <w:p>
      <w:r>
        <w:br w:type="page"/>
      </w:r>
    </w:p>
    <w:p>
      <w:pPr>
        <w:keepNext/>
        <w:spacing w:before="280" w:after="120"/>
      </w:pPr>
      <w:r>
        <w:rPr>
          <w:rFonts w:ascii="Times New Roman" w:hAnsi="Times New Roman"/>
          <w:b/>
          <w:color w:val="1F497D"/>
          <w:sz w:val="28"/>
        </w:rPr>
        <w:t>APPENDIX: SYSTEM EXECUTION GUIDE</w:t>
      </w:r>
    </w:p>
    <w:p>
      <w:pPr>
        <w:spacing w:before="0" w:after="120" w:line="276" w:lineRule="auto"/>
        <w:jc w:val="both"/>
      </w:pPr>
      <w:r>
        <w:rPr>
          <w:rFonts w:ascii="Times New Roman" w:hAnsi="Times New Roman"/>
          <w:color w:val="141414"/>
          <w:sz w:val="22"/>
        </w:rPr>
        <w:t>This appendix provides exact step-by-step instructions to reproduce the experimental results and launch the application on Windows 11:</w:t>
      </w:r>
    </w:p>
    <w:p>
      <w:pPr>
        <w:keepNext/>
        <w:spacing w:before="200" w:after="80"/>
      </w:pPr>
      <w:r>
        <w:rPr>
          <w:rFonts w:ascii="Times New Roman" w:hAnsi="Times New Roman"/>
          <w:b/>
          <w:color w:val="002060"/>
          <w:sz w:val="24"/>
        </w:rPr>
        <w:t>A.1 Project Directory Navigation</w:t>
      </w:r>
    </w:p>
    <w:p>
      <w:pPr>
        <w:spacing w:before="0" w:after="120" w:line="276" w:lineRule="auto"/>
        <w:jc w:val="both"/>
      </w:pPr>
      <w:r>
        <w:rPr>
          <w:rFonts w:ascii="Times New Roman" w:hAnsi="Times New Roman"/>
          <w:color w:val="141414"/>
          <w:sz w:val="22"/>
        </w:rPr>
        <w:t>Open PowerShell in Windows 11 and navigate to the project directory:</w:t>
        <w:br/>
        <w:t>cd C:\Users\shlok\.gemini\antigravity\scratch\EduPredict-AI</w:t>
      </w:r>
    </w:p>
    <w:p>
      <w:pPr>
        <w:keepNext/>
        <w:spacing w:before="200" w:after="80"/>
      </w:pPr>
      <w:r>
        <w:rPr>
          <w:rFonts w:ascii="Times New Roman" w:hAnsi="Times New Roman"/>
          <w:b/>
          <w:color w:val="002060"/>
          <w:sz w:val="24"/>
        </w:rPr>
        <w:t>A.2 Environment &amp; Dependency Installation</w:t>
      </w:r>
    </w:p>
    <w:p>
      <w:pPr>
        <w:spacing w:before="0" w:after="120" w:line="276" w:lineRule="auto"/>
        <w:jc w:val="both"/>
      </w:pPr>
      <w:r>
        <w:rPr>
          <w:rFonts w:ascii="Times New Roman" w:hAnsi="Times New Roman"/>
          <w:color w:val="141414"/>
          <w:sz w:val="22"/>
        </w:rPr>
        <w:t>Ensure Python 3.10+ is installed, then install all project requirements:</w:t>
        <w:br/>
        <w:t>pip install -r requirements.txt</w:t>
      </w:r>
    </w:p>
    <w:p>
      <w:pPr>
        <w:keepNext/>
        <w:spacing w:before="200" w:after="80"/>
      </w:pPr>
      <w:r>
        <w:rPr>
          <w:rFonts w:ascii="Times New Roman" w:hAnsi="Times New Roman"/>
          <w:b/>
          <w:color w:val="002060"/>
          <w:sz w:val="24"/>
        </w:rPr>
        <w:t>A.3 Training and Model Optimization Pipeline</w:t>
      </w:r>
    </w:p>
    <w:p>
      <w:pPr>
        <w:spacing w:before="0" w:after="120" w:line="276" w:lineRule="auto"/>
        <w:jc w:val="both"/>
      </w:pPr>
      <w:r>
        <w:rPr>
          <w:rFonts w:ascii="Times New Roman" w:hAnsi="Times New Roman"/>
          <w:color w:val="141414"/>
          <w:sz w:val="22"/>
        </w:rPr>
        <w:t>Execute the complete machine learning training pipeline with UTF-8 character encoding:</w:t>
        <w:br/>
        <w:t>$env:PYTHONIOENCODING='utf-8'</w:t>
        <w:br/>
        <w:t>python train_model.py</w:t>
      </w:r>
    </w:p>
    <w:p>
      <w:pPr>
        <w:keepNext/>
        <w:spacing w:before="200" w:after="80"/>
      </w:pPr>
      <w:r>
        <w:rPr>
          <w:rFonts w:ascii="Times New Roman" w:hAnsi="Times New Roman"/>
          <w:b/>
          <w:color w:val="002060"/>
          <w:sz w:val="24"/>
        </w:rPr>
        <w:t>A.4 Automated Unit Testing</w:t>
      </w:r>
    </w:p>
    <w:p>
      <w:pPr>
        <w:spacing w:before="0" w:after="120" w:line="276" w:lineRule="auto"/>
        <w:jc w:val="both"/>
      </w:pPr>
      <w:r>
        <w:rPr>
          <w:rFonts w:ascii="Times New Roman" w:hAnsi="Times New Roman"/>
          <w:color w:val="141414"/>
          <w:sz w:val="22"/>
        </w:rPr>
        <w:t>Run the automated test suite across all preprocessing and inference functions:</w:t>
        <w:br/>
        <w:t>$env:PYTHONIOENCODING='utf-8'</w:t>
        <w:br/>
        <w:t>python -m pytest tests/ -v</w:t>
      </w:r>
    </w:p>
    <w:p>
      <w:pPr>
        <w:keepNext/>
        <w:spacing w:before="200" w:after="80"/>
      </w:pPr>
      <w:r>
        <w:rPr>
          <w:rFonts w:ascii="Times New Roman" w:hAnsi="Times New Roman"/>
          <w:b/>
          <w:color w:val="002060"/>
          <w:sz w:val="24"/>
        </w:rPr>
        <w:t>A.5 Launching the Streamlit Web Dashboard</w:t>
      </w:r>
    </w:p>
    <w:p>
      <w:pPr>
        <w:spacing w:before="0" w:after="120" w:line="276" w:lineRule="auto"/>
        <w:jc w:val="both"/>
      </w:pPr>
      <w:r>
        <w:rPr>
          <w:rFonts w:ascii="Times New Roman" w:hAnsi="Times New Roman"/>
          <w:color w:val="141414"/>
          <w:sz w:val="22"/>
        </w:rPr>
        <w:t>Launch the production interactive web application on the local host:</w:t>
        <w:br/>
        <w:t>streamlit run app.py</w:t>
        <w:br/>
        <w:t>Then access the dashboard in your web browser at: http://localhost:8501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