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Screwge Pivot: The Project Memory Layer</w:t>
      </w:r>
    </w:p>
    <w:p>
      <w:pPr/>
      <w:r>
        <w:t xml:space="preserve">Sep 26, 2026</w:t>
      </w:r>
      <w:r>
        <w:t xml:space="preserve"> · </w:t>
      </w:r>
      <w:r>
        <w:t xml:space="preserve">@Shlok Jain</w:t>
      </w:r>
    </w:p>
    <w:p>
      <w:pPr>
        <w:pStyle w:val="Heading2"/>
      </w:pPr>
      <w:r>
        <w:t xml:space="preserve">The pitch</w:t>
      </w:r>
    </w:p>
    <w:p>
      <w:pPr/>
      <w:r>
        <w:rPr>
          <w:b/>
        </w:rPr>
        <w:t xml:space="preserve">The problem in one line:</w:t>
      </w:r>
      <w:r>
        <w:t xml:space="preserve"> Construction projects lose their memory. The decisions that set cost, schedule and liability get made in emails and meetings. They are spread across five companies' systems, and they leave with whoever changes jobs.</w:t>
      </w:r>
    </w:p>
    <w:p>
      <w:pPr/>
      <w:r>
        <w:rPr>
          <w:b/>
        </w:rPr>
        <w:t xml:space="preserve">The solution in one line:</w:t>
      </w:r>
      <w:r>
        <w:t xml:space="preserve"> Screwge plugs into the tools a project already uses: inboxes, Procore, Trimble and Autodesk. From them it keeps one living record of every decision, commitment and open item, each linked to its source. Anyone can pick up the project and see where it stands and why.</w:t>
      </w:r>
    </w:p>
    <w:p>
      <w:pPr/>
      <w:r>
        <w:rPr>
          <w:b/>
        </w:rPr>
        <w:t xml:space="preserve">The 30-second version:</w:t>
      </w:r>
    </w:p>
    <w:p>
      <w:pPr>
        <w:pStyle w:val="Quote"/>
      </w:pPr>
      <w:r>
        <w:t xml:space="preserve">An owner's rep at a major university told us about a $10M building. It is already occupied, but about 30 of its 95 punch-list items are still open. One was the studio curtains. Fixing them meant taking the studio offline for 7–10 days, so he dropped the item in a one-line email. Two years from now someone will ask "why didn't we fix the curtains?", and the only answer is in his inbox. The same thing happens with every RFI, change order and "just drop it" on every project, and staff turnover makes it worse. Screwge reads the project's inboxes and platforms. It pulls out every decision and commitment with a link to its source. It turns them into a live decision log, a handover brief for the next PM, and a permanent closeout record.</w:t>
      </w:r>
    </w:p>
    <w:p>
      <w:pPr>
        <w:pStyle w:val="Heading2"/>
      </w:pPr>
      <w:r>
        <w:t xml:space="preserve">The problem: projects lose their memory</w:t>
      </w:r>
    </w:p>
    <w:p>
      <w:pPr/>
      <w:r>
        <w:rPr>
          <w:b/>
        </w:rPr>
        <w:t xml:space="preserve">Problem statement.</w:t>
      </w:r>
      <w:r>
        <w:t xml:space="preserve"> On every construction project, the most important information never reaches a system of record. That is why a decision was made, who approved it, what was promised and what is still open. It lives in email threads, meeting notes and people's heads. Each stakeholder (owner, owner's PM, architect, GC, subs) runs its own software. There is usually one shared "North Star" system, but the subs often can't see it. Information leaks at every handoff between these systems. When someone rotates off the project, or a dispute comes up years later, nobody can reconstruct what happened.</w:t>
      </w:r>
    </w:p>
    <w:p>
      <w:pPr>
        <w:pStyle w:val="Heading3"/>
      </w:pPr>
      <w:r>
        <w:t xml:space="preserve">How it shows up on a real project</w:t>
      </w:r>
    </w:p>
    <w:p>
      <w:pPr>
        <w:pStyle w:val="ListParagraph"/>
        <w:numPr>
          <w:ilvl w:val="0"/>
          <w:numId w:val="2"/>
        </w:numPr>
      </w:pPr>
      <w:r>
        <w:rPr>
          <w:b/>
        </w:rPr>
        <w:t xml:space="preserve">Decisions happen outside the system.</w:t>
      </w:r>
      <w:r>
        <w:t xml:space="preserve"> An owner drops a punch-list item in a reply-all email. The GC's system still shows the item open, and the reason exists only in one inbox.</w:t>
      </w:r>
    </w:p>
    <w:p>
      <w:pPr>
        <w:pStyle w:val="ListParagraph"/>
        <w:numPr>
          <w:ilvl w:val="0"/>
          <w:numId w:val="2"/>
        </w:numPr>
      </w:pPr>
      <w:r>
        <w:rPr>
          <w:b/>
        </w:rPr>
        <w:t xml:space="preserve">Every party runs a different system.</w:t>
      </w:r>
      <w:r>
        <w:t xml:space="preserve"> At USC, the owner-side North Star is Trimble. It is most likely Trimble's owner platform e-Builder (now renamed Trimble Unity Construct), since USC is a named e-Builder customer. The GC and subs each run their own tools too, and subs usually have no access to the owner's platform.</w:t>
      </w:r>
    </w:p>
    <w:p>
      <w:pPr>
        <w:pStyle w:val="ListParagraph"/>
        <w:numPr>
          <w:ilvl w:val="0"/>
          <w:numId w:val="2"/>
        </w:numPr>
      </w:pPr>
      <w:r>
        <w:rPr>
          <w:b/>
        </w:rPr>
        <w:t xml:space="preserve">Projects get stuck at 95%.</w:t>
      </w:r>
      <w:r>
        <w:t xml:space="preserve"> Closeout drags on for months. Surprises like an undiscovered HVAC duct turn into RFIs, new scope and new cost, while the people who know the history get reassigned to other jobs.</w:t>
      </w:r>
    </w:p>
    <w:p>
      <w:pPr>
        <w:pStyle w:val="ListParagraph"/>
        <w:numPr>
          <w:ilvl w:val="0"/>
          <w:numId w:val="2"/>
        </w:numPr>
      </w:pPr>
      <w:r>
        <w:rPr>
          <w:b/>
        </w:rPr>
        <w:t xml:space="preserve">Turnover resets context.</w:t>
      </w:r>
      <w:r>
        <w:t xml:space="preserve"> On one project, an AV sub's PM changed three times.</w:t>
      </w:r>
    </w:p>
    <w:p>
      <w:pPr>
        <w:pStyle w:val="ListParagraph"/>
        <w:numPr>
          <w:ilvl w:val="0"/>
          <w:numId w:val="2"/>
        </w:numPr>
      </w:pPr>
      <w:r>
        <w:rPr>
          <w:b/>
        </w:rPr>
        <w:t xml:space="preserve">Owners get the data secondhand.</w:t>
      </w:r>
      <w:r>
        <w:t xml:space="preserve"> The senior owner's rep doesn't log into Trimble. His staff export it into a slide deck for him.</w:t>
      </w:r>
    </w:p>
    <w:p>
      <w:pPr>
        <w:pStyle w:val="Heading3"/>
      </w:pPr>
      <w:r>
        <w:t xml:space="preserve">The evidence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Finding</w:t>
            </w:r>
          </w:p>
        </w:tc>
        <w:tc>
          <w:tcPr>
            <w:tcW w:w="3120" w:type="dxa"/>
            <w:shd w:val="clear" w:color="auto" w:fill="F2F2F2"/>
          </w:tcPr>
          <w:p>
            <w:pPr/>
            <w:r>
              <w:t xml:space="preserve">Number</w:t>
            </w:r>
          </w:p>
        </w:tc>
        <w:tc>
          <w:tcPr>
            <w:tcW w:w="3120" w:type="dxa"/>
            <w:shd w:val="clear" w:color="auto" w:fill="F2F2F2"/>
          </w:tcPr>
          <w:p>
            <w:pPr/>
            <w:r>
              <w:t xml:space="preserve">Source</w:t>
            </w:r>
          </w:p>
        </w:tc>
      </w:tr>
      <w:tr>
        <w:tc>
          <w:tcPr>
            <w:tcW w:w="3120" w:type="dxa"/>
          </w:tcPr>
          <w:p>
            <w:pPr/>
            <w:r>
              <w:t xml:space="preserve">Time lost to non-productive work: searching for info, resolving conflicts, fixing mistakes</w:t>
            </w:r>
          </w:p>
        </w:tc>
        <w:tc>
          <w:tcPr>
            <w:tcW w:w="3120" w:type="dxa"/>
          </w:tcPr>
          <w:p>
            <w:pPr/>
            <w:r>
              <w:t xml:space="preserve">35% of working time, 14+ hrs/week per person, of which 5.5 hrs/week is spent looking for project information</w:t>
            </w:r>
          </w:p>
        </w:tc>
        <w:tc>
          <w:tcPr>
            <w:tcW w:w="3120" w:type="dxa"/>
          </w:tcPr>
          <w:p>
            <w:pPr/>
            <w:r>
              <w:t xml:space="preserve">PlanGrid &amp; FMI, </w:t>
            </w:r>
            <w:r>
              <w:rPr>
                <w:i/>
              </w:rPr>
              <w:t xml:space="preserve">Construction Disconnected</w:t>
            </w:r>
            <w:r>
              <w:t xml:space="preserve"> (2018)</w:t>
            </w:r>
          </w:p>
        </w:tc>
      </w:tr>
      <w:tr>
        <w:tc>
          <w:tcPr>
            <w:tcW w:w="3120" w:type="dxa"/>
          </w:tcPr>
          <w:p>
            <w:pPr/>
            <w:r>
              <w:t xml:space="preserve">Rework caused by poor communication and by poor project information</w:t>
            </w:r>
          </w:p>
        </w:tc>
        <w:tc>
          <w:tcPr>
            <w:tcW w:w="3120" w:type="dxa"/>
          </w:tcPr>
          <w:p>
            <w:pPr/>
            <w:r>
              <w:t xml:space="preserve">26% and 22% of US rework</w:t>
            </w:r>
          </w:p>
        </w:tc>
        <w:tc>
          <w:tcPr>
            <w:tcW w:w="3120" w:type="dxa"/>
          </w:tcPr>
          <w:p>
            <w:pPr/>
            <w:r>
              <w:t xml:space="preserve">PlanGrid &amp; FMI (2018)</w:t>
            </w:r>
          </w:p>
        </w:tc>
      </w:tr>
      <w:tr>
        <w:tc>
          <w:tcPr>
            <w:tcW w:w="3120" w:type="dxa"/>
          </w:tcPr>
          <w:p>
            <w:pPr/>
            <w:r>
              <w:t xml:space="preserve">Cost of "bad data" (inaccurate, incomplete, inaccessible or late)</w:t>
            </w:r>
          </w:p>
        </w:tc>
        <w:tc>
          <w:tcPr>
            <w:tcW w:w="3120" w:type="dxa"/>
          </w:tcPr>
          <w:p>
            <w:pPr/>
            <w:r>
              <w:t xml:space="preserve">~$1.85T globally in 2020, including ~$88.7B of rework</w:t>
            </w:r>
          </w:p>
        </w:tc>
        <w:tc>
          <w:tcPr>
            <w:tcW w:w="3120" w:type="dxa"/>
          </w:tcPr>
          <w:p>
            <w:pPr/>
            <w:r>
              <w:t xml:space="preserve">Autodesk &amp; FMI, </w:t>
            </w:r>
            <w:r>
              <w:rPr>
                <w:i/>
              </w:rPr>
              <w:t xml:space="preserve">Harnessing the Data Advantage</w:t>
            </w:r>
            <w:r>
              <w:t xml:space="preserve"> (2021)</w:t>
            </w:r>
          </w:p>
        </w:tc>
      </w:tr>
      <w:tr>
        <w:tc>
          <w:tcPr>
            <w:tcW w:w="3120" w:type="dxa"/>
          </w:tcPr>
          <w:p>
            <w:pPr/>
            <w:r>
              <w:t xml:space="preserve">PM turnover at larger contractors</w:t>
            </w:r>
          </w:p>
        </w:tc>
        <w:tc>
          <w:tcPr>
            <w:tcW w:w="3120" w:type="dxa"/>
          </w:tcPr>
          <w:p>
            <w:pPr/>
            <w:r>
              <w:t xml:space="preserve">65–70% report turnover in project managers</w:t>
            </w:r>
          </w:p>
        </w:tc>
        <w:tc>
          <w:tcPr>
            <w:tcW w:w="3120" w:type="dxa"/>
          </w:tcPr>
          <w:p>
            <w:pPr/>
            <w:r>
              <w:t xml:space="preserve">CFMA, 2025 Construction Compensation Trends</w:t>
            </w:r>
          </w:p>
        </w:tc>
      </w:tr>
      <w:tr>
        <w:tc>
          <w:tcPr>
            <w:tcW w:w="3120" w:type="dxa"/>
          </w:tcPr>
          <w:p>
            <w:pPr/>
            <w:r>
              <w:t xml:space="preserve">Cost to replace one project manager</w:t>
            </w:r>
          </w:p>
        </w:tc>
        <w:tc>
          <w:tcPr>
            <w:tcW w:w="3120" w:type="dxa"/>
          </w:tcPr>
          <w:p>
            <w:pPr/>
            <w:r>
              <w:t xml:space="preserve">~$45,300, not counting the project knowledge that walks out</w:t>
            </w:r>
          </w:p>
        </w:tc>
        <w:tc>
          <w:tcPr>
            <w:tcW w:w="3120" w:type="dxa"/>
          </w:tcPr>
          <w:p>
            <w:pPr/>
            <w:r>
              <w:t xml:space="preserve">The Resource Company (2025), cited by Vantage Circle</w:t>
            </w:r>
          </w:p>
        </w:tc>
      </w:tr>
      <w:tr>
        <w:tc>
          <w:tcPr>
            <w:tcW w:w="3120" w:type="dxa"/>
          </w:tcPr>
          <w:p>
            <w:pPr/>
            <w:r>
              <w:t xml:space="preserve">Size and length of disputes</w:t>
            </w:r>
          </w:p>
        </w:tc>
        <w:tc>
          <w:tcPr>
            <w:tcW w:w="3120" w:type="dxa"/>
          </w:tcPr>
          <w:p>
            <w:pPr/>
            <w:r>
              <w:t xml:space="preserve">Average North American dispute ~$60.1M, lasting ~12.5 months; a leading cause is parties misunderstanding or not complying with contract obligations</w:t>
            </w:r>
          </w:p>
        </w:tc>
        <w:tc>
          <w:tcPr>
            <w:tcW w:w="3120" w:type="dxa"/>
          </w:tcPr>
          <w:p>
            <w:pPr/>
            <w:r>
              <w:t xml:space="preserve">Arcadis, Global Construction Disputes Report 2025</w:t>
            </w:r>
          </w:p>
        </w:tc>
      </w:tr>
      <w:tr>
        <w:tc>
          <w:tcPr>
            <w:tcW w:w="3120" w:type="dxa"/>
          </w:tcPr>
          <w:p>
            <w:pPr/>
            <w:r>
              <w:t xml:space="preserve">How long the record has to hold up</w:t>
            </w:r>
          </w:p>
        </w:tc>
        <w:tc>
          <w:tcPr>
            <w:tcW w:w="3120" w:type="dxa"/>
          </w:tcPr>
          <w:p>
            <w:pPr/>
            <w:r>
              <w:t xml:space="preserve">In California, latent-defect claims can be filed up to 10 years after substantial completion</w:t>
            </w:r>
          </w:p>
        </w:tc>
        <w:tc>
          <w:tcPr>
            <w:tcW w:w="3120" w:type="dxa"/>
          </w:tcPr>
          <w:p>
            <w:pPr/>
            <w:r>
              <w:t xml:space="preserve">Cal. Code of Civil Procedure §337.15</w:t>
            </w:r>
          </w:p>
        </w:tc>
      </w:tr>
    </w:tbl>
    <w:p>
      <w:pPr/>
      <w:r>
        <w:rPr>
          <w:i/>
        </w:rPr>
        <w:t xml:space="preserve">Caveat:</w:t>
      </w:r>
      <w:r>
        <w:t xml:space="preserve"> The FMI figures are survey-based estimates from 2018 and 2021, so treat them as directional. Arcadis reports an average, which a handful of mega-disputes pull upward.</w:t>
      </w:r>
    </w:p>
    <w:p>
      <w:pPr>
        <w:pStyle w:val="Heading3"/>
      </w:pPr>
      <w:r>
        <w:t xml:space="preserve">Why now</w:t>
      </w:r>
    </w:p>
    <w:p>
      <w:pPr>
        <w:pStyle w:val="ListParagraph"/>
        <w:numPr>
          <w:ilvl w:val="0"/>
          <w:numId w:val="3"/>
        </w:numPr>
      </w:pPr>
      <w:r>
        <w:rPr>
          <w:b/>
        </w:rPr>
        <w:t xml:space="preserve">AI can now read unstructured project communication.</w:t>
      </w:r>
      <w:r>
        <w:t xml:space="preserve"> Language models can read email threads and meeting notes and pull out decisions and commitments with citations to the source. That wasn't practical a few years ago.</w:t>
      </w:r>
    </w:p>
    <w:p>
      <w:pPr>
        <w:pStyle w:val="ListParagraph"/>
        <w:numPr>
          <w:ilvl w:val="0"/>
          <w:numId w:val="3"/>
        </w:numPr>
      </w:pPr>
      <w:r>
        <w:rPr>
          <w:b/>
        </w:rPr>
        <w:t xml:space="preserve">The platforms are opening up.</w:t>
      </w:r>
      <w:r>
        <w:t xml:space="preserve"> Procore lists 400+ marketplace integrations and says support for AI agents and MCP servers is coming to its developer portal in 2026.</w:t>
      </w:r>
    </w:p>
    <w:p>
      <w:pPr>
        <w:pStyle w:val="ListParagraph"/>
        <w:numPr>
          <w:ilvl w:val="0"/>
          <w:numId w:val="3"/>
        </w:numPr>
      </w:pPr>
      <w:r>
        <w:rPr>
          <w:b/>
        </w:rPr>
        <w:t xml:space="preserve">The incumbents are paying for this layer.</w:t>
      </w:r>
      <w:r>
        <w:t xml:space="preserve"> Procore paid $168M cash for Datagrid in January 2026, an AI layer that connects data across construction systems. That validates the idea, and it also means the incumbents are moving here (see Competition).</w:t>
      </w:r>
    </w:p>
    <w:p>
      <w:pPr>
        <w:pStyle w:val="ListParagraph"/>
        <w:numPr>
          <w:ilvl w:val="0"/>
          <w:numId w:val="3"/>
        </w:numPr>
      </w:pPr>
      <w:r>
        <w:rPr>
          <w:b/>
        </w:rPr>
        <w:t xml:space="preserve">Knowledge loss keeps getting more expensive.</w:t>
      </w:r>
      <w:r>
        <w:t xml:space="preserve"> Labor shortages and turnover raise the cost every year.</w:t>
      </w:r>
    </w:p>
    <w:p>
      <w:pPr>
        <w:pStyle w:val="Heading2"/>
      </w:pPr>
      <w:r>
        <w:t xml:space="preserve">Who feels the pain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Stakeholder</w:t>
            </w:r>
          </w:p>
        </w:tc>
        <w:tc>
          <w:tcPr>
            <w:tcW w:w="3120" w:type="dxa"/>
            <w:shd w:val="clear" w:color="auto" w:fill="F2F2F2"/>
          </w:tcPr>
          <w:p>
            <w:pPr/>
            <w:r>
              <w:t xml:space="preserve">Their pain today</w:t>
            </w:r>
          </w:p>
        </w:tc>
        <w:tc>
          <w:tcPr>
            <w:tcW w:w="3120" w:type="dxa"/>
            <w:shd w:val="clear" w:color="auto" w:fill="F2F2F2"/>
          </w:tcPr>
          <w:p>
            <w:pPr/>
            <w:r>
              <w:t xml:space="preserve">What they'd want from Screwge</w:t>
            </w:r>
          </w:p>
        </w:tc>
      </w:tr>
      <w:tr>
        <w:tc>
          <w:tcPr>
            <w:tcW w:w="3120" w:type="dxa"/>
          </w:tcPr>
          <w:p>
            <w:pPr/>
            <w:r>
              <w:rPr>
                <w:b/>
              </w:rPr>
              <w:t xml:space="preserve">Owner / owner's rep</w:t>
            </w:r>
            <w:r>
              <w:t xml:space="preserve"> (university capital programs, hospitals, public agencies)</w:t>
            </w:r>
          </w:p>
        </w:tc>
        <w:tc>
          <w:tcPr>
            <w:tcW w:w="3120" w:type="dxa"/>
          </w:tcPr>
          <w:p>
            <w:pPr/>
            <w:r>
              <w:t xml:space="preserve">Answers for budget and outcomes across many projects and GCs. Sees each project only through exports and meetings. Owns the building for decades and carries the long liability.</w:t>
            </w:r>
          </w:p>
        </w:tc>
        <w:tc>
          <w:tcPr>
            <w:tcW w:w="3120" w:type="dxa"/>
          </w:tcPr>
          <w:p>
            <w:pPr/>
            <w:r>
              <w:t xml:space="preserve">One current view of open items, decisions and money, in a record that survives staff and contractor changes</w:t>
            </w:r>
          </w:p>
        </w:tc>
      </w:tr>
      <w:tr>
        <w:tc>
          <w:tcPr>
            <w:tcW w:w="3120" w:type="dxa"/>
          </w:tcPr>
          <w:p>
            <w:pPr/>
            <w:r>
              <w:rPr>
                <w:b/>
              </w:rPr>
              <w:t xml:space="preserve">Incoming PM</w:t>
            </w:r>
            <w:r>
              <w:t xml:space="preserve"> (owner or GC side)</w:t>
            </w:r>
          </w:p>
        </w:tc>
        <w:tc>
          <w:tcPr>
            <w:tcW w:w="3120" w:type="dxa"/>
          </w:tcPr>
          <w:p>
            <w:pPr/>
            <w:r>
              <w:t xml:space="preserve">Inherits a project mid-flight with a pile of emails and a shared drive</w:t>
            </w:r>
          </w:p>
        </w:tc>
        <w:tc>
          <w:tcPr>
            <w:tcW w:w="3120" w:type="dxa"/>
          </w:tcPr>
          <w:p>
            <w:pPr/>
            <w:r>
              <w:t xml:space="preserve">A handover brief: deadlines, open items, pending decisions, work on hold, who's who</w:t>
            </w:r>
          </w:p>
        </w:tc>
      </w:tr>
      <w:tr>
        <w:tc>
          <w:tcPr>
            <w:tcW w:w="3120" w:type="dxa"/>
          </w:tcPr>
          <w:p>
            <w:pPr/>
            <w:r>
              <w:rPr>
                <w:b/>
              </w:rPr>
              <w:t xml:space="preserve">GC project manager</w:t>
            </w:r>
          </w:p>
        </w:tc>
        <w:tc>
          <w:tcPr>
            <w:tcW w:w="3120" w:type="dxa"/>
          </w:tcPr>
          <w:p>
            <w:pPr/>
            <w:r>
              <w:t xml:space="preserve">Chases subs, fields RFIs and change orders, defends claims</w:t>
            </w:r>
          </w:p>
        </w:tc>
        <w:tc>
          <w:tcPr>
            <w:tcW w:w="3120" w:type="dxa"/>
          </w:tcPr>
          <w:p>
            <w:pPr/>
            <w:r>
              <w:t xml:space="preserve">Proof of who approved what and when, found in seconds instead of hours</w:t>
            </w:r>
          </w:p>
        </w:tc>
      </w:tr>
      <w:tr>
        <w:tc>
          <w:tcPr>
            <w:tcW w:w="3120" w:type="dxa"/>
          </w:tcPr>
          <w:p>
            <w:pPr/>
            <w:r>
              <w:rPr>
                <w:b/>
              </w:rPr>
              <w:t xml:space="preserve">Architect / design team</w:t>
            </w:r>
          </w:p>
        </w:tc>
        <w:tc>
          <w:tcPr>
            <w:tcW w:w="3120" w:type="dxa"/>
          </w:tcPr>
          <w:p>
            <w:pPr/>
            <w:r>
              <w:t xml:space="preserve">Stays through construction to protect design intent; handles RFIs and field deviations</w:t>
            </w:r>
          </w:p>
        </w:tc>
        <w:tc>
          <w:tcPr>
            <w:tcW w:w="3120" w:type="dxa"/>
          </w:tcPr>
          <w:p>
            <w:pPr/>
            <w:r>
              <w:t xml:space="preserve">A trail showing where the built work departed from the design, and who approved each deviation</w:t>
            </w:r>
          </w:p>
        </w:tc>
      </w:tr>
      <w:tr>
        <w:tc>
          <w:tcPr>
            <w:tcW w:w="3120" w:type="dxa"/>
          </w:tcPr>
          <w:p>
            <w:pPr/>
            <w:r>
              <w:rPr>
                <w:b/>
              </w:rPr>
              <w:t xml:space="preserve">Claims, legal, facilities</w:t>
            </w:r>
            <w:r>
              <w:t xml:space="preserve"> (later)</w:t>
            </w:r>
          </w:p>
        </w:tc>
        <w:tc>
          <w:tcPr>
            <w:tcW w:w="3120" w:type="dxa"/>
          </w:tcPr>
          <w:p>
            <w:pPr/>
            <w:r>
              <w:t xml:space="preserve">Has to reconstruct history months or years afterward</w:t>
            </w:r>
          </w:p>
        </w:tc>
        <w:tc>
          <w:tcPr>
            <w:tcW w:w="3120" w:type="dxa"/>
          </w:tcPr>
          <w:p>
            <w:pPr/>
            <w:r>
              <w:t xml:space="preserve">A defensible, searchable record</w:t>
            </w:r>
          </w:p>
        </w:tc>
      </w:tr>
    </w:tbl>
    <w:p>
      <w:pPr/>
      <w:r>
        <w:t xml:space="preserve">The owner is the one party whose view spans every system on the project, and the one who outlasts every contractor. That makes the owner the natural first buyer (see the wedge section).</w:t>
      </w:r>
    </w:p>
    <w:p>
      <w:pPr>
        <w:pStyle w:val="Heading2"/>
      </w:pPr>
      <w:r>
        <w:t xml:space="preserve">The solution: a memory layer on top of the tools teams already use</w:t>
      </w:r>
    </w:p>
    <w:p>
      <w:pPr/>
      <w:r>
        <w:rPr>
          <w:b/>
        </w:rPr>
        <w:t xml:space="preserve">Solution statement.</w:t>
      </w:r>
      <w:r>
        <w:t xml:space="preserve"> Screwge is an AI layer with read-only access to a project's inboxes and platforms: Outlook or Gmail, Procore, Trimble, Autodesk Build and meeting notes. It pulls out the decisions, commitments, approvals and open items buried in them. Each one goes into a living project timeline with a link back to the original email or document. Nobody has to change how they work, because the record builds itself.</w:t>
      </w:r>
    </w:p>
    <w:p>
      <w:pPr>
        <w:pStyle w:val="Heading3"/>
      </w:pPr>
      <w:r>
        <w:t xml:space="preserve">How it works</w:t>
      </w:r>
    </w:p>
    <w:p>
      <w:pPr>
        <w:pStyle w:val="ListParagraph"/>
        <w:numPr>
          <w:ilvl w:val="0"/>
          <w:numId w:val="4"/>
        </w:numPr>
      </w:pPr>
      <w:r>
        <w:rPr>
          <w:b/>
        </w:rPr>
        <w:t xml:space="preserve">Connect.</w:t>
      </w:r>
      <w:r>
        <w:t xml:space="preserve"> Read-only access to the owner's rep's inbox and the project platforms, through standard integrations such as Microsoft 365, Google Workspace and the Procore API. Sources with no API get covered by exports or a project BCC address.</w:t>
      </w:r>
    </w:p>
    <w:p>
      <w:pPr>
        <w:pStyle w:val="ListParagraph"/>
        <w:numPr>
          <w:ilvl w:val="0"/>
          <w:numId w:val="4"/>
        </w:numPr>
      </w:pPr>
      <w:r>
        <w:rPr>
          <w:b/>
        </w:rPr>
        <w:t xml:space="preserve">Extract.</w:t>
      </w:r>
      <w:r>
        <w:t xml:space="preserve"> AI reads each new email, RFI, change order and meeting note. It pulls out project events: decisions, approvals, commitments ("we'll have it by Friday"), scope, cost and schedule changes, and open questions.</w:t>
      </w:r>
    </w:p>
    <w:p>
      <w:pPr>
        <w:pStyle w:val="ListParagraph"/>
        <w:numPr>
          <w:ilvl w:val="0"/>
          <w:numId w:val="4"/>
        </w:numPr>
      </w:pPr>
      <w:r>
        <w:rPr>
          <w:b/>
        </w:rPr>
        <w:t xml:space="preserve">Link.</w:t>
      </w:r>
      <w:r>
        <w:t xml:space="preserve"> Each event attaches to the thing it's about, such as a punch-list item, RFI, room or trade. That gives every item one timeline across all systems.</w:t>
      </w:r>
    </w:p>
    <w:p>
      <w:pPr>
        <w:pStyle w:val="ListParagraph"/>
        <w:numPr>
          <w:ilvl w:val="0"/>
          <w:numId w:val="4"/>
        </w:numPr>
      </w:pPr>
      <w:r>
        <w:rPr>
          <w:b/>
        </w:rPr>
        <w:t xml:space="preserve">Confirm.</w:t>
      </w:r>
      <w:r>
        <w:t xml:space="preserve"> Key entries like decisions and approvals go to a person for one-click confirmation before they enter the official record.</w:t>
      </w:r>
    </w:p>
    <w:p>
      <w:pPr>
        <w:pStyle w:val="ListParagraph"/>
        <w:numPr>
          <w:ilvl w:val="0"/>
          <w:numId w:val="4"/>
        </w:numPr>
      </w:pPr>
      <w:r>
        <w:rPr>
          <w:b/>
        </w:rPr>
        <w:t xml:space="preserve">Deliver.</w:t>
      </w:r>
      <w:r>
        <w:t xml:space="preserve"> The record is served back through the outputs below.</w:t>
      </w:r>
    </w:p>
    <w:p>
      <w:pPr>
        <w:pStyle w:val="Heading3"/>
      </w:pPr>
      <w:r>
        <w:t xml:space="preserve">Example: one item's timeline (dates illustrative)</w:t>
      </w:r>
    </w:p>
    <w:p>
      <w:pPr/>
      <w:r>
        <w:rPr>
          <w:b/>
        </w:rPr>
        <w:t xml:space="preserve">Studio curtains, punch item #47</w:t>
      </w:r>
    </w:p>
    <w:p>
      <w:pPr>
        <w:pStyle w:val="ListParagraph"/>
        <w:numPr>
          <w:ilvl w:val="0"/>
          <w:numId w:val="5"/>
        </w:numPr>
      </w:pPr>
      <w:r>
        <w:rPr>
          <w:b/>
        </w:rPr>
        <w:t xml:space="preserve">Mar 3:</w:t>
      </w:r>
      <w:r>
        <w:t xml:space="preserve"> Added to the punch list during the walkthrough </w:t>
      </w:r>
      <w:r>
        <w:rPr>
          <w:i/>
        </w:rPr>
        <w:t xml:space="preserve">(source: Trimble punch log)</w:t>
      </w:r>
    </w:p>
    <w:p>
      <w:pPr>
        <w:pStyle w:val="ListParagraph"/>
        <w:numPr>
          <w:ilvl w:val="0"/>
          <w:numId w:val="5"/>
        </w:numPr>
      </w:pPr>
      <w:r>
        <w:rPr>
          <w:b/>
        </w:rPr>
        <w:t xml:space="preserve">Mar 18:</w:t>
      </w:r>
      <w:r>
        <w:t xml:space="preserve"> GC's on-site PM estimates 7–10 days of studio downtime to fix </w:t>
      </w:r>
      <w:r>
        <w:rPr>
          <w:i/>
        </w:rPr>
        <w:t xml:space="preserve">(source: email from GC)</w:t>
      </w:r>
    </w:p>
    <w:p>
      <w:pPr>
        <w:pStyle w:val="ListParagraph"/>
        <w:numPr>
          <w:ilvl w:val="0"/>
          <w:numId w:val="5"/>
        </w:numPr>
      </w:pPr>
      <w:r>
        <w:rPr>
          <w:b/>
        </w:rPr>
        <w:t xml:space="preserve">Mar 19:</w:t>
      </w:r>
      <w:r>
        <w:t xml:space="preserve"> Owner's rep removes the item from the punch list and accepts it as-is </w:t>
      </w:r>
      <w:r>
        <w:rPr>
          <w:i/>
        </w:rPr>
        <w:t xml:space="preserve">(source: email reply)</w:t>
      </w:r>
    </w:p>
    <w:p>
      <w:pPr>
        <w:pStyle w:val="ListParagraph"/>
        <w:numPr>
          <w:ilvl w:val="0"/>
          <w:numId w:val="5"/>
        </w:numPr>
      </w:pPr>
      <w:r>
        <w:rPr>
          <w:b/>
        </w:rPr>
        <w:t xml:space="preserve">Status:</w:t>
      </w:r>
      <w:r>
        <w:t xml:space="preserve"> Closed, accepted as-is by the owner. The reason is on record.</w:t>
      </w:r>
    </w:p>
    <w:p>
      <w:pPr>
        <w:pStyle w:val="Heading3"/>
      </w:pPr>
      <w:r>
        <w:t xml:space="preserve">What users get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Output</w:t>
            </w:r>
          </w:p>
        </w:tc>
        <w:tc>
          <w:tcPr>
            <w:tcW w:w="3120" w:type="dxa"/>
            <w:shd w:val="clear" w:color="auto" w:fill="F2F2F2"/>
          </w:tcPr>
          <w:p>
            <w:pPr/>
            <w:r>
              <w:t xml:space="preserve">What it is</w:t>
            </w:r>
          </w:p>
        </w:tc>
        <w:tc>
          <w:tcPr>
            <w:tcW w:w="3120" w:type="dxa"/>
            <w:shd w:val="clear" w:color="auto" w:fill="F2F2F2"/>
          </w:tcPr>
          <w:p>
            <w:pPr/>
            <w:r>
              <w:t xml:space="preserve">Main user</w:t>
            </w:r>
          </w:p>
        </w:tc>
      </w:tr>
      <w:tr>
        <w:tc>
          <w:tcPr>
            <w:tcW w:w="3120" w:type="dxa"/>
          </w:tcPr>
          <w:p>
            <w:pPr/>
            <w:r>
              <w:rPr>
                <w:b/>
              </w:rPr>
              <w:t xml:space="preserve">Ask the project</w:t>
            </w:r>
          </w:p>
        </w:tc>
        <w:tc>
          <w:tcPr>
            <w:tcW w:w="3120" w:type="dxa"/>
          </w:tcPr>
          <w:p>
            <w:pPr/>
            <w:r>
              <w:t xml:space="preserve">Plain-English questions ("why didn't we fix the curtains?") answered with links to the source emails and documents</w:t>
            </w:r>
          </w:p>
        </w:tc>
        <w:tc>
          <w:tcPr>
            <w:tcW w:w="3120" w:type="dxa"/>
          </w:tcPr>
          <w:p>
            <w:pPr/>
            <w:r>
              <w:t xml:space="preserve">Everyone</w:t>
            </w:r>
          </w:p>
        </w:tc>
      </w:tr>
      <w:tr>
        <w:tc>
          <w:tcPr>
            <w:tcW w:w="3120" w:type="dxa"/>
          </w:tcPr>
          <w:p>
            <w:pPr/>
            <w:r>
              <w:rPr>
                <w:b/>
              </w:rPr>
              <w:t xml:space="preserve">Decision log</w:t>
            </w:r>
          </w:p>
        </w:tc>
        <w:tc>
          <w:tcPr>
            <w:tcW w:w="3120" w:type="dxa"/>
          </w:tcPr>
          <w:p>
            <w:pPr/>
            <w:r>
              <w:t xml:space="preserve">Every decision and approval: who made it, when, why, and its cost or schedule impact</w:t>
            </w:r>
          </w:p>
        </w:tc>
        <w:tc>
          <w:tcPr>
            <w:tcW w:w="3120" w:type="dxa"/>
          </w:tcPr>
          <w:p>
            <w:pPr/>
            <w:r>
              <w:t xml:space="preserve">Owner, GC PM, claims</w:t>
            </w:r>
          </w:p>
        </w:tc>
      </w:tr>
      <w:tr>
        <w:tc>
          <w:tcPr>
            <w:tcW w:w="3120" w:type="dxa"/>
          </w:tcPr>
          <w:p>
            <w:pPr/>
            <w:r>
              <w:rPr>
                <w:b/>
              </w:rPr>
              <w:t xml:space="preserve">Open-items tracker</w:t>
            </w:r>
          </w:p>
        </w:tc>
        <w:tc>
          <w:tcPr>
            <w:tcW w:w="3120" w:type="dxa"/>
          </w:tcPr>
          <w:p>
            <w:pPr/>
            <w:r>
              <w:t xml:space="preserve">Everything promised or pending across all systems, with who owns it and how old it is. This is the "stuck at 95%" list.</w:t>
            </w:r>
          </w:p>
        </w:tc>
        <w:tc>
          <w:tcPr>
            <w:tcW w:w="3120" w:type="dxa"/>
          </w:tcPr>
          <w:p>
            <w:pPr/>
            <w:r>
              <w:t xml:space="preserve">Owner's rep, GC PM</w:t>
            </w:r>
          </w:p>
        </w:tc>
      </w:tr>
      <w:tr>
        <w:tc>
          <w:tcPr>
            <w:tcW w:w="3120" w:type="dxa"/>
          </w:tcPr>
          <w:p>
            <w:pPr/>
            <w:r>
              <w:rPr>
                <w:b/>
              </w:rPr>
              <w:t xml:space="preserve">Handover brief</w:t>
            </w:r>
          </w:p>
        </w:tc>
        <w:tc>
          <w:tcPr>
            <w:tcW w:w="3120" w:type="dxa"/>
          </w:tcPr>
          <w:p>
            <w:pPr/>
            <w:r>
              <w:t xml:space="preserve">Generated when a PM changes: deadlines, open items, pending decisions, work on hold, key contacts</w:t>
            </w:r>
          </w:p>
        </w:tc>
        <w:tc>
          <w:tcPr>
            <w:tcW w:w="3120" w:type="dxa"/>
          </w:tcPr>
          <w:p>
            <w:pPr/>
            <w:r>
              <w:t xml:space="preserve">Incoming PM</w:t>
            </w:r>
          </w:p>
        </w:tc>
      </w:tr>
      <w:tr>
        <w:tc>
          <w:tcPr>
            <w:tcW w:w="3120" w:type="dxa"/>
          </w:tcPr>
          <w:p>
            <w:pPr/>
            <w:r>
              <w:rPr>
                <w:b/>
              </w:rPr>
              <w:t xml:space="preserve">Weekly owner digest</w:t>
            </w:r>
          </w:p>
        </w:tc>
        <w:tc>
          <w:tcPr>
            <w:tcW w:w="3120" w:type="dxa"/>
          </w:tcPr>
          <w:p>
            <w:pPr/>
            <w:r>
              <w:t xml:space="preserve">Replaces the hand-built deck: budget movement, new decisions, items that are aging</w:t>
            </w:r>
          </w:p>
        </w:tc>
        <w:tc>
          <w:tcPr>
            <w:tcW w:w="3120" w:type="dxa"/>
          </w:tcPr>
          <w:p>
            <w:pPr/>
            <w:r>
              <w:t xml:space="preserve">Senior owner's rep</w:t>
            </w:r>
          </w:p>
        </w:tc>
      </w:tr>
      <w:tr>
        <w:tc>
          <w:tcPr>
            <w:tcW w:w="3120" w:type="dxa"/>
          </w:tcPr>
          <w:p>
            <w:pPr/>
            <w:r>
              <w:rPr>
                <w:b/>
              </w:rPr>
              <w:t xml:space="preserve">Closeout record</w:t>
            </w:r>
          </w:p>
        </w:tc>
        <w:tc>
          <w:tcPr>
            <w:tcW w:w="3120" w:type="dxa"/>
          </w:tcPr>
          <w:p>
            <w:pPr/>
            <w:r>
              <w:t xml:space="preserve">A permanent, searchable archive handed over at completion</w:t>
            </w:r>
          </w:p>
        </w:tc>
        <w:tc>
          <w:tcPr>
            <w:tcW w:w="3120" w:type="dxa"/>
          </w:tcPr>
          <w:p>
            <w:pPr/>
            <w:r>
              <w:t xml:space="preserve">Facilities, legal</w:t>
            </w:r>
          </w:p>
        </w:tc>
      </w:tr>
    </w:tbl>
    <w:p>
      <w:pPr>
        <w:pStyle w:val="Heading3"/>
      </w:pPr>
      <w:r>
        <w:t xml:space="preserve">Design principles</w:t>
      </w:r>
    </w:p>
    <w:p>
      <w:pPr>
        <w:pStyle w:val="ListParagraph"/>
        <w:numPr>
          <w:ilvl w:val="0"/>
          <w:numId w:val="6"/>
        </w:numPr>
      </w:pPr>
      <w:r>
        <w:rPr>
          <w:b/>
        </w:rPr>
        <w:t xml:space="preserve">Read-only first.</w:t>
      </w:r>
      <w:r>
        <w:t xml:space="preserve"> Screwge never sends, edits or approves anything in the source systems.</w:t>
      </w:r>
    </w:p>
    <w:p>
      <w:pPr>
        <w:pStyle w:val="ListParagraph"/>
        <w:numPr>
          <w:ilvl w:val="0"/>
          <w:numId w:val="6"/>
        </w:numPr>
      </w:pPr>
      <w:r>
        <w:rPr>
          <w:b/>
        </w:rPr>
        <w:t xml:space="preserve">Every answer has a source.</w:t>
      </w:r>
      <w:r>
        <w:t xml:space="preserve"> No claim appears without a link to the email or document behind it.</w:t>
      </w:r>
    </w:p>
    <w:p>
      <w:pPr>
        <w:pStyle w:val="ListParagraph"/>
        <w:numPr>
          <w:ilvl w:val="0"/>
          <w:numId w:val="6"/>
        </w:numPr>
      </w:pPr>
      <w:r>
        <w:rPr>
          <w:b/>
        </w:rPr>
        <w:t xml:space="preserve">Permission-aware.</w:t>
      </w:r>
      <w:r>
        <w:t xml:space="preserve"> People see only what they could already see in the source system. Each company's internal emails stay internal unless that company chooses to share them.</w:t>
      </w:r>
    </w:p>
    <w:p>
      <w:pPr>
        <w:pStyle w:val="ListParagraph"/>
        <w:numPr>
          <w:ilvl w:val="0"/>
          <w:numId w:val="6"/>
        </w:numPr>
      </w:pPr>
      <w:r>
        <w:rPr>
          <w:b/>
        </w:rPr>
        <w:t xml:space="preserve">Sits on top, doesn't replace.</w:t>
      </w:r>
      <w:r>
        <w:t xml:space="preserve"> It works alongside Procore, Trimble and Autodesk rather than competing to be the system of record.</w:t>
      </w:r>
    </w:p>
    <w:p>
      <w:pPr>
        <w:pStyle w:val="Heading3"/>
      </w:pPr>
      <w:r>
        <w:t xml:space="preserve">What carries over from today's Screwge</w:t>
      </w:r>
    </w:p>
    <w:p>
      <w:pPr/>
      <w:r>
        <w:t xml:space="preserve">The verification work still matters. A decision says what should happen, and field evidence (photos, measurements, inspection results) proves it did. Linking the two, for example "owner approved change order #12, and here is the evidence the work was done," is something document-search tools don't do.</w:t>
      </w:r>
    </w:p>
    <w:p>
      <w:pPr>
        <w:pStyle w:val="Heading3"/>
      </w:pPr>
      <w:r>
        <w:t xml:space="preserve">What it is not</w:t>
      </w:r>
    </w:p>
    <w:p>
      <w:pPr>
        <w:pStyle w:val="ListParagraph"/>
        <w:numPr>
          <w:ilvl w:val="0"/>
          <w:numId w:val="7"/>
        </w:numPr>
      </w:pPr>
      <w:r>
        <w:t xml:space="preserve">Not another project management platform, and not a replacement for a common data environment like Aconex.</w:t>
      </w:r>
    </w:p>
    <w:p>
      <w:pPr>
        <w:pStyle w:val="ListParagraph"/>
        <w:numPr>
          <w:ilvl w:val="0"/>
          <w:numId w:val="7"/>
        </w:numPr>
      </w:pPr>
      <w:r>
        <w:t xml:space="preserve">Not an agent that takes actions on anyone's behalf, at least at first.</w:t>
      </w:r>
    </w:p>
    <w:p>
      <w:pPr>
        <w:pStyle w:val="ListParagraph"/>
        <w:numPr>
          <w:ilvl w:val="0"/>
          <w:numId w:val="7"/>
        </w:numPr>
      </w:pPr>
      <w:r>
        <w:t xml:space="preserve">Not "capture everything from everyone" on day one. See the wedge section.</w:t>
      </w:r>
    </w:p>
    <w:p>
      <w:pPr>
        <w:pStyle w:val="Heading2"/>
      </w:pPr>
      <w:r>
        <w:t xml:space="preserve">Why customers will buy</w:t>
      </w:r>
    </w:p>
    <w:p>
      <w:pPr/>
      <w:r>
        <w:t xml:space="preserve">Nobody buys "better information" in the abstract. People buy at the moment missing information starts costing them money or putting them at risk. There are four such moments:</w:t>
      </w:r>
    </w:p>
    <w:p>
      <w:pPr>
        <w:pStyle w:val="ListParagraph"/>
        <w:numPr>
          <w:ilvl w:val="0"/>
          <w:numId w:val="8"/>
        </w:numPr>
      </w:pPr>
      <w:r>
        <w:rPr>
          <w:b/>
        </w:rPr>
        <w:t xml:space="preserve">A PM leaves or joins mid-project.</w:t>
      </w:r>
      <w:r>
        <w:t xml:space="preserve"> Replacing a PM costs about $45K before counting lost project knowledge, and most larger contractors report PM turnover. The handover brief is a concrete deliverable at a painful moment.</w:t>
      </w:r>
    </w:p>
    <w:p>
      <w:pPr>
        <w:pStyle w:val="ListParagraph"/>
        <w:numPr>
          <w:ilvl w:val="0"/>
          <w:numId w:val="8"/>
        </w:numPr>
      </w:pPr>
      <w:r>
        <w:rPr>
          <w:b/>
        </w:rPr>
        <w:t xml:space="preserve">The project is stuck at 95%.</w:t>
      </w:r>
      <w:r>
        <w:t xml:space="preserve"> Punch lists, open RFIs and closeout paperwork drag on for months while money is held back and people move on. The open-items tracker shows exactly what's blocking completion and who owns each item.</w:t>
      </w:r>
    </w:p>
    <w:p>
      <w:pPr>
        <w:pStyle w:val="ListParagraph"/>
        <w:numPr>
          <w:ilvl w:val="0"/>
          <w:numId w:val="8"/>
        </w:numPr>
      </w:pPr>
      <w:r>
        <w:rPr>
          <w:b/>
        </w:rPr>
        <w:t xml:space="preserve">A dispute or claim.</w:t>
      </w:r>
      <w:r>
        <w:t xml:space="preserve"> North American disputes average about $60M and take about a year to resolve. The side with the clearer record of who decided what, and when, is in the stronger position.</w:t>
      </w:r>
    </w:p>
    <w:p>
      <w:pPr>
        <w:pStyle w:val="ListParagraph"/>
        <w:numPr>
          <w:ilvl w:val="0"/>
          <w:numId w:val="8"/>
        </w:numPr>
      </w:pPr>
      <w:r>
        <w:rPr>
          <w:b/>
        </w:rPr>
        <w:t xml:space="preserve">Reporting up.</w:t>
      </w:r>
      <w:r>
        <w:t xml:space="preserve"> Senior owner's reps get project status through decks their staff build by hand. The weekly digest removes that work.</w:t>
      </w:r>
    </w:p>
    <w:p>
      <w:pPr>
        <w:pStyle w:val="Heading3"/>
      </w:pPr>
      <w:r>
        <w:t xml:space="preserve">Who pays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Buyer</w:t>
            </w:r>
          </w:p>
        </w:tc>
        <w:tc>
          <w:tcPr>
            <w:tcW w:w="3120" w:type="dxa"/>
            <w:shd w:val="clear" w:color="auto" w:fill="F2F2F2"/>
          </w:tcPr>
          <w:p>
            <w:pPr/>
            <w:r>
              <w:t xml:space="preserve">Why they'd pay</w:t>
            </w:r>
          </w:p>
        </w:tc>
        <w:tc>
          <w:tcPr>
            <w:tcW w:w="3120" w:type="dxa"/>
            <w:shd w:val="clear" w:color="auto" w:fill="F2F2F2"/>
          </w:tcPr>
          <w:p>
            <w:pPr/>
            <w:r>
              <w:t xml:space="preserve">What makes it hard</w:t>
            </w:r>
          </w:p>
        </w:tc>
      </w:tr>
      <w:tr>
        <w:tc>
          <w:tcPr>
            <w:tcW w:w="3120" w:type="dxa"/>
          </w:tcPr>
          <w:p>
            <w:pPr/>
            <w:r>
              <w:rPr>
                <w:b/>
              </w:rPr>
              <w:t xml:space="preserve">Owner</w:t>
            </w:r>
            <w:r>
              <w:t xml:space="preserve"> (recommended first)</w:t>
            </w:r>
          </w:p>
        </w:tc>
        <w:tc>
          <w:tcPr>
            <w:tcW w:w="3120" w:type="dxa"/>
          </w:tcPr>
          <w:p>
            <w:pPr/>
            <w:r>
              <w:t xml:space="preserve">Runs many projects across many GCs. Carries the long liability. Has budget for project management overhead. One person, such as the director of capital programs, can approve a pilot.</w:t>
            </w:r>
          </w:p>
        </w:tc>
        <w:tc>
          <w:tcPr>
            <w:tcW w:w="3120" w:type="dxa"/>
          </w:tcPr>
          <w:p>
            <w:pPr/>
            <w:r>
              <w:t xml:space="preserve">Slow procurement at universities and public agencies; IT security review before anyone touches email</w:t>
            </w:r>
          </w:p>
        </w:tc>
      </w:tr>
      <w:tr>
        <w:tc>
          <w:tcPr>
            <w:tcW w:w="3120" w:type="dxa"/>
          </w:tcPr>
          <w:p>
            <w:pPr/>
            <w:r>
              <w:rPr>
                <w:b/>
              </w:rPr>
              <w:t xml:space="preserve">GC</w:t>
            </w:r>
          </w:p>
        </w:tc>
        <w:tc>
          <w:tcPr>
            <w:tcW w:w="3120" w:type="dxa"/>
          </w:tcPr>
          <w:p>
            <w:pPr/>
            <w:r>
              <w:t xml:space="preserve">Bigger market, more projects, feels PM turnover the most</w:t>
            </w:r>
          </w:p>
        </w:tc>
        <w:tc>
          <w:tcPr>
            <w:tcW w:w="3120" w:type="dxa"/>
          </w:tcPr>
          <w:p>
            <w:pPr/>
            <w:r>
              <w:t xml:space="preserve">Procore and Trunk Tools already sell AI to GCs. GCs may not want owners seeing everything.</w:t>
            </w:r>
          </w:p>
        </w:tc>
      </w:tr>
      <w:tr>
        <w:tc>
          <w:tcPr>
            <w:tcW w:w="3120" w:type="dxa"/>
          </w:tcPr>
          <w:p>
            <w:pPr/>
            <w:r>
              <w:rPr>
                <w:b/>
              </w:rPr>
              <w:t xml:space="preserve">Architect</w:t>
            </w:r>
          </w:p>
        </w:tc>
        <w:tc>
          <w:tcPr>
            <w:tcW w:w="3120" w:type="dxa"/>
          </w:tcPr>
          <w:p>
            <w:pPr/>
            <w:r>
              <w:t xml:space="preserve">Design intent and RFI trail</w:t>
            </w:r>
          </w:p>
        </w:tc>
        <w:tc>
          <w:tcPr>
            <w:tcW w:w="3120" w:type="dxa"/>
          </w:tcPr>
          <w:p>
            <w:pPr/>
            <w:r>
              <w:t xml:space="preserve">Newforma's home turf; smaller budgets</w:t>
            </w:r>
          </w:p>
        </w:tc>
      </w:tr>
    </w:tbl>
    <w:p>
      <w:pPr>
        <w:pStyle w:val="Heading3"/>
      </w:pPr>
      <w:r>
        <w:t xml:space="preserve">Illustrative ROI (assumptions still to be tested)</w:t>
      </w:r>
    </w:p>
    <w:p>
      <w:pPr>
        <w:pStyle w:val="ListParagraph"/>
        <w:numPr>
          <w:ilvl w:val="0"/>
          <w:numId w:val="9"/>
        </w:numPr>
      </w:pPr>
      <w:r>
        <w:t xml:space="preserve">Say Screwge saves a PM 2 of the 5.5 hours a week they spend looking for information. At an assumed $75/hr loaded cost over 50 working weeks, that's about </w:t>
      </w:r>
      <w:r>
        <w:rPr>
          <w:b/>
        </w:rPr>
        <w:t xml:space="preserve">$7,500 per PM per year</w:t>
      </w:r>
      <w:r>
        <w:t xml:space="preserve">.</w:t>
      </w:r>
    </w:p>
    <w:p>
      <w:pPr>
        <w:pStyle w:val="ListParagraph"/>
        <w:numPr>
          <w:ilvl w:val="0"/>
          <w:numId w:val="9"/>
        </w:numPr>
      </w:pPr>
      <w:r>
        <w:t xml:space="preserve">A single avoided handover mess, a change order that doesn't get paid twice, or one claim defended with a clean record is probably worth more than a year's subscription on that project.</w:t>
      </w:r>
    </w:p>
    <w:p>
      <w:pPr>
        <w:pStyle w:val="ListParagraph"/>
        <w:numPr>
          <w:ilvl w:val="0"/>
          <w:numId w:val="9"/>
        </w:numPr>
      </w:pPr>
      <w:r>
        <w:t xml:space="preserve">These are hypotheses. The concierge test in the validation plan is how we get real numbers.</w:t>
      </w:r>
    </w:p>
    <w:p>
      <w:pPr>
        <w:pStyle w:val="Heading2"/>
      </w:pPr>
      <w:r>
        <w:t xml:space="preserve">Competition: this space is crowded</w:t>
      </w:r>
    </w:p>
    <w:p>
      <w:pPr/>
      <w:r>
        <w:rPr>
          <w:b/>
        </w:rPr>
        <w:t xml:space="preserve">Honest headline:</w:t>
      </w:r>
      <w:r>
        <w:t xml:space="preserve"> "AI that reads all your project data and answers questions" is not open space. Every major platform is building it inside its own product, and well-funded startups already sell it. The real question is where a gap is left.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Player</w:t>
            </w:r>
          </w:p>
        </w:tc>
        <w:tc>
          <w:tcPr>
            <w:tcW w:w="3120" w:type="dxa"/>
            <w:shd w:val="clear" w:color="auto" w:fill="F2F2F2"/>
          </w:tcPr>
          <w:p>
            <w:pPr/>
            <w:r>
              <w:t xml:space="preserve">What they do</w:t>
            </w:r>
          </w:p>
        </w:tc>
        <w:tc>
          <w:tcPr>
            <w:tcW w:w="3120" w:type="dxa"/>
            <w:shd w:val="clear" w:color="auto" w:fill="F2F2F2"/>
          </w:tcPr>
          <w:p>
            <w:pPr/>
            <w:r>
              <w:t xml:space="preserve">What it means for Screwge</w:t>
            </w:r>
          </w:p>
        </w:tc>
      </w:tr>
      <w:tr>
        <w:tc>
          <w:tcPr>
            <w:tcW w:w="3120" w:type="dxa"/>
          </w:tcPr>
          <w:p>
            <w:pPr/>
            <w:r>
              <w:rPr>
                <w:b/>
              </w:rPr>
              <w:t xml:space="preserve">Newforma (Konekt)</w:t>
            </w:r>
          </w:p>
        </w:tc>
        <w:tc>
          <w:tcPr>
            <w:tcW w:w="3120" w:type="dxa"/>
          </w:tcPr>
          <w:p>
            <w:pPr/>
            <w:r>
              <w:t xml:space="preserve">Project email management for AEC firms: deep Outlook integration, AI that files emails to the right project, Microsoft Teams archiving, and connectors to other platforms. Pitched as a connected project record that doesn't replace existing systems.</w:t>
            </w:r>
          </w:p>
        </w:tc>
        <w:tc>
          <w:tcPr>
            <w:tcW w:w="3120" w:type="dxa"/>
          </w:tcPr>
          <w:p>
            <w:pPr/>
            <w:r>
              <w:rPr>
                <w:b/>
              </w:rPr>
              <w:t xml:space="preserve">Closest to this pitch.</w:t>
            </w:r>
            <w:r>
              <w:t xml:space="preserve"> Strongest with architects and engineers. Study it closely.</w:t>
            </w:r>
          </w:p>
        </w:tc>
      </w:tr>
      <w:tr>
        <w:tc>
          <w:tcPr>
            <w:tcW w:w="3120" w:type="dxa"/>
          </w:tcPr>
          <w:p>
            <w:pPr/>
            <w:r>
              <w:rPr>
                <w:b/>
              </w:rPr>
              <w:t xml:space="preserve">Oracle Aconex</w:t>
            </w:r>
          </w:p>
        </w:tc>
        <w:tc>
          <w:tcPr>
            <w:tcW w:w="3120" w:type="dxa"/>
          </w:tcPr>
          <w:p>
            <w:pPr/>
            <w:r>
              <w:t xml:space="preserve">Common data environment for large projects. All correspondence sent through it is logged in a record that can't be altered, then archived read-only at completion for handover and disputes.</w:t>
            </w:r>
          </w:p>
        </w:tc>
        <w:tc>
          <w:tcPr>
            <w:tcW w:w="3120" w:type="dxa"/>
          </w:tcPr>
          <w:p>
            <w:pPr/>
            <w:r>
              <w:t xml:space="preserve">Already sells "the complete project record," but only covers what flows through Aconex, mostly on mega-projects.</w:t>
            </w:r>
          </w:p>
        </w:tc>
      </w:tr>
      <w:tr>
        <w:tc>
          <w:tcPr>
            <w:tcW w:w="3120" w:type="dxa"/>
          </w:tcPr>
          <w:p>
            <w:pPr/>
            <w:r>
              <w:rPr>
                <w:b/>
              </w:rPr>
              <w:t xml:space="preserve">Procore</w:t>
            </w:r>
            <w:r>
              <w:t xml:space="preserve"> (Helix, Assist, Agent Builder) </w:t>
            </w:r>
            <w:r>
              <w:rPr>
                <w:b/>
              </w:rPr>
              <w:t xml:space="preserve">+ Datagrid</w:t>
            </w:r>
          </w:p>
        </w:tc>
        <w:tc>
          <w:tcPr>
            <w:tcW w:w="3120" w:type="dxa"/>
          </w:tcPr>
          <w:p>
            <w:pPr/>
            <w:r>
              <w:t xml:space="preserve">An AI layer across Procore data, a conversational assistant over specs, RFIs and submittals, and no-code agents. Bought Datagrid for $168M cash in January 2026 to connect third-party systems such as ERP and cloud storage. Datagrid is still sold to non-Procore customers.</w:t>
            </w:r>
          </w:p>
        </w:tc>
        <w:tc>
          <w:tcPr>
            <w:tcW w:w="3120" w:type="dxa"/>
          </w:tcPr>
          <w:p>
            <w:pPr/>
            <w:r>
              <w:t xml:space="preserve">The biggest platform is building its own cross-system layer. A plugin that depends on Procore carries real platform risk.</w:t>
            </w:r>
          </w:p>
        </w:tc>
      </w:tr>
      <w:tr>
        <w:tc>
          <w:tcPr>
            <w:tcW w:w="3120" w:type="dxa"/>
          </w:tcPr>
          <w:p>
            <w:pPr/>
            <w:r>
              <w:rPr>
                <w:b/>
              </w:rPr>
              <w:t xml:space="preserve">Trunk Tools</w:t>
            </w:r>
          </w:p>
        </w:tc>
        <w:tc>
          <w:tcPr>
            <w:tcW w:w="3120" w:type="dxa"/>
          </w:tcPr>
          <w:p>
            <w:pPr/>
            <w:r>
              <w:t xml:space="preserve">AI for construction documents: cited answers from project docs by text, plus RFI, submittal and bid agents. $40M Series B in July 2025 ($70M total). Enterprise deal with Suffolk covering 1,500+ field users.</w:t>
            </w:r>
          </w:p>
        </w:tc>
        <w:tc>
          <w:tcPr>
            <w:tcW w:w="3120" w:type="dxa"/>
          </w:tcPr>
          <w:p>
            <w:pPr/>
            <w:r>
              <w:t xml:space="preserve">Well-funded, founder from the trades, focused on GCs and the field. Built around documents and drawings, not email and decisions.</w:t>
            </w:r>
          </w:p>
        </w:tc>
      </w:tr>
      <w:tr>
        <w:tc>
          <w:tcPr>
            <w:tcW w:w="3120" w:type="dxa"/>
          </w:tcPr>
          <w:p>
            <w:pPr/>
            <w:r>
              <w:rPr>
                <w:b/>
              </w:rPr>
              <w:t xml:space="preserve">Kahua</w:t>
            </w:r>
            <w:r>
              <w:t xml:space="preserve"> (Noa, May 2026), </w:t>
            </w:r>
            <w:r>
              <w:rPr>
                <w:b/>
              </w:rPr>
              <w:t xml:space="preserve">Mastt</w:t>
            </w:r>
          </w:p>
        </w:tc>
        <w:tc>
          <w:tcPr>
            <w:tcW w:w="3120" w:type="dxa"/>
          </w:tcPr>
          <w:p>
            <w:pPr/>
            <w:r>
              <w:t xml:space="preserve">Owner-side capital program platforms that added AI assistants inside their own systems</w:t>
            </w:r>
          </w:p>
        </w:tc>
        <w:tc>
          <w:tcPr>
            <w:tcW w:w="3120" w:type="dxa"/>
          </w:tcPr>
          <w:p>
            <w:pPr/>
            <w:r>
              <w:t xml:space="preserve">AI is arriving on the owner side too, but each one works only inside its own platform.</w:t>
            </w:r>
          </w:p>
        </w:tc>
      </w:tr>
      <w:tr>
        <w:tc>
          <w:tcPr>
            <w:tcW w:w="3120" w:type="dxa"/>
          </w:tcPr>
          <w:p>
            <w:pPr/>
            <w:r>
              <w:rPr>
                <w:b/>
              </w:rPr>
              <w:t xml:space="preserve">Trimble Unity Construct</w:t>
            </w:r>
            <w:r>
              <w:t xml:space="preserve"> (formerly e-Builder)</w:t>
            </w:r>
          </w:p>
        </w:tc>
        <w:tc>
          <w:tcPr>
            <w:tcW w:w="3120" w:type="dxa"/>
          </w:tcPr>
          <w:p>
            <w:pPr/>
            <w:r>
              <w:t xml:space="preserve">Owner-side system of record for capital programs. USC is a named customer, and Trimble is developing AI on its owner data.</w:t>
            </w:r>
          </w:p>
        </w:tc>
        <w:tc>
          <w:tcPr>
            <w:tcW w:w="3120" w:type="dxa"/>
          </w:tcPr>
          <w:p>
            <w:pPr/>
            <w:r>
              <w:t xml:space="preserve">USC's North Star. Could be an integration partner or a competitor.</w:t>
            </w:r>
          </w:p>
        </w:tc>
      </w:tr>
      <w:tr>
        <w:tc>
          <w:tcPr>
            <w:tcW w:w="3120" w:type="dxa"/>
          </w:tcPr>
          <w:p>
            <w:pPr/>
            <w:r>
              <w:rPr>
                <w:b/>
              </w:rPr>
              <w:t xml:space="preserve">iFieldSmart Email AI</w:t>
            </w:r>
            <w:r>
              <w:t xml:space="preserve"> and general AI email tools</w:t>
            </w:r>
          </w:p>
        </w:tc>
        <w:tc>
          <w:tcPr>
            <w:tcW w:w="3120" w:type="dxa"/>
          </w:tcPr>
          <w:p>
            <w:pPr/>
            <w:r>
              <w:t xml:space="preserve">A dedicated project inbox where AI analyzes incoming emails</w:t>
            </w:r>
          </w:p>
        </w:tc>
        <w:tc>
          <w:tcPr>
            <w:tcW w:w="3120" w:type="dxa"/>
          </w:tcPr>
          <w:p>
            <w:pPr/>
            <w:r>
              <w:t xml:space="preserve">Shows the "AI inbox for construction" idea is already being tried.</w:t>
            </w:r>
          </w:p>
        </w:tc>
      </w:tr>
    </w:tbl>
    <w:p>
      <w:pPr>
        <w:pStyle w:val="Heading3"/>
      </w:pPr>
      <w:r>
        <w:t xml:space="preserve">Where the gap might be</w:t>
      </w:r>
    </w:p>
    <w:p>
      <w:pPr/>
      <w:r>
        <w:t xml:space="preserve">Each incumbent sees only its own system. An owner's decision trail crosses all of them: the owner's email and platform, each GC's platform, and the architect's email. The opening is a neutral, owner-side layer that:</w:t>
      </w:r>
    </w:p>
    <w:p>
      <w:pPr>
        <w:pStyle w:val="ListParagraph"/>
        <w:numPr>
          <w:ilvl w:val="0"/>
          <w:numId w:val="10"/>
        </w:numPr>
      </w:pPr>
      <w:r>
        <w:t xml:space="preserve">Makes </w:t>
      </w:r>
      <w:r>
        <w:rPr>
          <w:b/>
        </w:rPr>
        <w:t xml:space="preserve">decisions and commitments</w:t>
      </w:r>
      <w:r>
        <w:t xml:space="preserve"> the core object instead of documents, with a lifecycle from proposed to approved to done.</w:t>
      </w:r>
    </w:p>
    <w:p>
      <w:pPr>
        <w:pStyle w:val="ListParagraph"/>
        <w:numPr>
          <w:ilvl w:val="0"/>
          <w:numId w:val="10"/>
        </w:numPr>
      </w:pPr>
      <w:r>
        <w:t xml:space="preserve">Works </w:t>
      </w:r>
      <w:r>
        <w:rPr>
          <w:b/>
        </w:rPr>
        <w:t xml:space="preserve">across whatever each GC uses</w:t>
      </w:r>
      <w:r>
        <w:t xml:space="preserve"> within the owner's portfolio of projects.</w:t>
      </w:r>
    </w:p>
    <w:p>
      <w:pPr>
        <w:pStyle w:val="ListParagraph"/>
        <w:numPr>
          <w:ilvl w:val="0"/>
          <w:numId w:val="10"/>
        </w:numPr>
      </w:pPr>
      <w:r>
        <w:t xml:space="preserve">Links decisions to </w:t>
      </w:r>
      <w:r>
        <w:rPr>
          <w:b/>
        </w:rPr>
        <w:t xml:space="preserve">field evidence</w:t>
      </w:r>
      <w:r>
        <w:t xml:space="preserve"> of what was built, which is what Screwge already does.</w:t>
      </w:r>
    </w:p>
    <w:p>
      <w:pPr>
        <w:pStyle w:val="ListParagraph"/>
        <w:numPr>
          <w:ilvl w:val="0"/>
          <w:numId w:val="10"/>
        </w:numPr>
      </w:pPr>
      <w:r>
        <w:t xml:space="preserve">Starts at one specific, painful moment: </w:t>
      </w:r>
      <w:r>
        <w:rPr>
          <w:b/>
        </w:rPr>
        <w:t xml:space="preserve">handover and closeout</w:t>
      </w:r>
      <w:r>
        <w:t xml:space="preserve">.</w:t>
      </w:r>
    </w:p>
    <w:p>
      <w:pPr/>
      <w:r>
        <w:rPr>
          <w:b/>
        </w:rPr>
        <w:t xml:space="preserve">Honest read:</w:t>
      </w:r>
      <w:r>
        <w:t xml:space="preserve"> The Datagrid deal proves someone will pay for a cross-system layer. It also means the biggest incumbent now owns one. Your edge has to be the owner-side, decision-first angle plus access (USC, Vasquez, the CMAA club). The AI alone is not an edge.</w:t>
      </w:r>
    </w:p>
    <w:p>
      <w:pPr>
        <w:pStyle w:val="Heading2"/>
      </w:pPr>
      <w:r>
        <w:t xml:space="preserve">Business model and economics (rough)</w:t>
      </w:r>
    </w:p>
    <w:p>
      <w:pPr>
        <w:pStyle w:val="Heading3"/>
      </w:pPr>
      <w:r>
        <w:t xml:space="preserve">Pricing options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Model</w:t>
            </w:r>
          </w:p>
        </w:tc>
        <w:tc>
          <w:tcPr>
            <w:tcW w:w="3120" w:type="dxa"/>
            <w:shd w:val="clear" w:color="auto" w:fill="F2F2F2"/>
          </w:tcPr>
          <w:p>
            <w:pPr/>
            <w:r>
              <w:t xml:space="preserve">How it works</w:t>
            </w:r>
          </w:p>
        </w:tc>
        <w:tc>
          <w:tcPr>
            <w:tcW w:w="3120" w:type="dxa"/>
            <w:shd w:val="clear" w:color="auto" w:fill="F2F2F2"/>
          </w:tcPr>
          <w:p>
            <w:pPr/>
            <w:r>
              <w:t xml:space="preserve">Fit</w:t>
            </w:r>
          </w:p>
        </w:tc>
      </w:tr>
      <w:tr>
        <w:tc>
          <w:tcPr>
            <w:tcW w:w="3120" w:type="dxa"/>
          </w:tcPr>
          <w:p>
            <w:pPr/>
            <w:r>
              <w:rPr>
                <w:b/>
              </w:rPr>
              <w:t xml:space="preserve">Per active project</w:t>
            </w:r>
          </w:p>
        </w:tc>
        <w:tc>
          <w:tcPr>
            <w:tcW w:w="3120" w:type="dxa"/>
          </w:tcPr>
          <w:p>
            <w:pPr/>
            <w:r>
              <w:t xml:space="preserve">Monthly fee per connected project. Starting hypothesis: $300–$800 per project per month.</w:t>
            </w:r>
          </w:p>
        </w:tc>
        <w:tc>
          <w:tcPr>
            <w:tcW w:w="3120" w:type="dxa"/>
          </w:tcPr>
          <w:p>
            <w:pPr/>
            <w:r>
              <w:t xml:space="preserve">Simple for owners; grows as the portfolio grows</w:t>
            </w:r>
          </w:p>
        </w:tc>
      </w:tr>
      <w:tr>
        <w:tc>
          <w:tcPr>
            <w:tcW w:w="3120" w:type="dxa"/>
          </w:tcPr>
          <w:p>
            <w:pPr/>
            <w:r>
              <w:rPr>
                <w:b/>
              </w:rPr>
              <w:t xml:space="preserve">Portfolio license</w:t>
            </w:r>
          </w:p>
        </w:tc>
        <w:tc>
          <w:tcPr>
            <w:tcW w:w="3120" w:type="dxa"/>
          </w:tcPr>
          <w:p>
            <w:pPr/>
            <w:r>
              <w:t xml:space="preserve">Annual fee tied to the size of the capital program, similar to Procore's pricing by construction volume</w:t>
            </w:r>
          </w:p>
        </w:tc>
        <w:tc>
          <w:tcPr>
            <w:tcW w:w="3120" w:type="dxa"/>
          </w:tcPr>
          <w:p>
            <w:pPr/>
            <w:r>
              <w:t xml:space="preserve">Large owners; bigger contracts, slower to close</w:t>
            </w:r>
          </w:p>
        </w:tc>
      </w:tr>
      <w:tr>
        <w:tc>
          <w:tcPr>
            <w:tcW w:w="3120" w:type="dxa"/>
          </w:tcPr>
          <w:p>
            <w:pPr/>
            <w:r>
              <w:rPr>
                <w:b/>
              </w:rPr>
              <w:t xml:space="preserve">Handover / closeout package</w:t>
            </w:r>
          </w:p>
        </w:tc>
        <w:tc>
          <w:tcPr>
            <w:tcW w:w="3120" w:type="dxa"/>
          </w:tcPr>
          <w:p>
            <w:pPr/>
            <w:r>
              <w:t xml:space="preserve">One-time fee to build the record for a single project at handover or closeout</w:t>
            </w:r>
          </w:p>
        </w:tc>
        <w:tc>
          <w:tcPr>
            <w:tcW w:w="3120" w:type="dxa"/>
          </w:tcPr>
          <w:p>
            <w:pPr/>
            <w:r>
              <w:t xml:space="preserve">Easy first sale; proves value before any deep IT integration</w:t>
            </w:r>
          </w:p>
        </w:tc>
      </w:tr>
    </w:tbl>
    <w:p>
      <w:pPr/>
      <w:r>
        <w:rPr>
          <w:i/>
        </w:rPr>
        <w:t xml:space="preserve">Benchmark:</w:t>
      </w:r>
      <w:r>
        <w:t xml:space="preserve"> one independent review puts Procore at roughly $15K–$30K a year for GCs doing $10M–$50M in annual volume.</w:t>
      </w:r>
    </w:p>
    <w:p>
      <w:pPr>
        <w:pStyle w:val="Heading3"/>
      </w:pPr>
      <w:r>
        <w:t xml:space="preserve">Illustrative math (not a forecast)</w:t>
      </w:r>
    </w:p>
    <w:p>
      <w:pPr>
        <w:pStyle w:val="ListParagraph"/>
        <w:numPr>
          <w:ilvl w:val="0"/>
          <w:numId w:val="11"/>
        </w:numPr>
      </w:pPr>
      <w:r>
        <w:t xml:space="preserve">One mid-size university with ~15 active projects at $400 per project per month comes to </w:t>
      </w:r>
      <w:r>
        <w:rPr>
          <w:b/>
        </w:rPr>
        <w:t xml:space="preserve">$72K a year</w:t>
      </w:r>
      <w:r>
        <w:t xml:space="preserve">.</w:t>
      </w:r>
    </w:p>
    <w:p>
      <w:pPr>
        <w:pStyle w:val="ListParagraph"/>
        <w:numPr>
          <w:ilvl w:val="0"/>
          <w:numId w:val="11"/>
        </w:numPr>
      </w:pPr>
      <w:r>
        <w:t xml:space="preserve">300 institutional owners of that size would be </w:t>
      </w:r>
      <w:r>
        <w:rPr>
          <w:b/>
        </w:rPr>
        <w:t xml:space="preserve">~$21.6M in annual recurring revenue</w:t>
      </w:r>
      <w:r>
        <w:t xml:space="preserve">.</w:t>
      </w:r>
    </w:p>
    <w:p>
      <w:pPr>
        <w:pStyle w:val="ListParagraph"/>
        <w:numPr>
          <w:ilvl w:val="0"/>
          <w:numId w:val="11"/>
        </w:numPr>
      </w:pPr>
      <w:r>
        <w:t xml:space="preserve">US construction spending was about $2.15T in 2024 (Census). Owner-side capital programs at universities, hospitals and agencies are a slice of that. Market size isn't what limits this business; access and trust are.</w:t>
      </w:r>
    </w:p>
    <w:p>
      <w:pPr>
        <w:pStyle w:val="Heading3"/>
      </w:pPr>
      <w:r>
        <w:t xml:space="preserve">Costs to plan for</w:t>
      </w:r>
    </w:p>
    <w:p>
      <w:pPr>
        <w:pStyle w:val="ListParagraph"/>
        <w:numPr>
          <w:ilvl w:val="0"/>
          <w:numId w:val="12"/>
        </w:numPr>
      </w:pPr>
      <w:r>
        <w:rPr>
          <w:b/>
        </w:rPr>
        <w:t xml:space="preserve">AI processing.</w:t>
      </w:r>
      <w:r>
        <w:t xml:space="preserve"> Reading every email and document on a project costs money. Run a cost test on one real project's email volume before setting prices, and aim for a typical SaaS gross margin (75%+).</w:t>
      </w:r>
    </w:p>
    <w:p>
      <w:pPr>
        <w:pStyle w:val="ListParagraph"/>
        <w:numPr>
          <w:ilvl w:val="0"/>
          <w:numId w:val="12"/>
        </w:numPr>
      </w:pPr>
      <w:r>
        <w:rPr>
          <w:b/>
        </w:rPr>
        <w:t xml:space="preserve">Security and compliance.</w:t>
      </w:r>
      <w:r>
        <w:t xml:space="preserve"> Reading email triggers an IT security review, and enterprise buyers usually ask for SOC 2. Budget time and money for it early.</w:t>
      </w:r>
    </w:p>
    <w:p>
      <w:pPr>
        <w:pStyle w:val="ListParagraph"/>
        <w:numPr>
          <w:ilvl w:val="0"/>
          <w:numId w:val="12"/>
        </w:numPr>
      </w:pPr>
      <w:r>
        <w:rPr>
          <w:b/>
        </w:rPr>
        <w:t xml:space="preserve">Integrations.</w:t>
      </w:r>
      <w:r>
        <w:t xml:space="preserve"> Every platform (Procore, Trimble, Autodesk, Microsoft 365, Google) is a separate thing to build and maintain. Start with two.</w:t>
      </w:r>
    </w:p>
    <w:p>
      <w:pPr>
        <w:pStyle w:val="ListParagraph"/>
        <w:numPr>
          <w:ilvl w:val="0"/>
          <w:numId w:val="12"/>
        </w:numPr>
      </w:pPr>
      <w:r>
        <w:rPr>
          <w:b/>
        </w:rPr>
        <w:t xml:space="preserve">Sales cycle.</w:t>
      </w:r>
      <w:r>
        <w:t xml:space="preserve"> Universities and public agencies move slowly. Expect months, not weeks, and run free design partnerships first.</w:t>
      </w:r>
    </w:p>
    <w:p>
      <w:pPr>
        <w:pStyle w:val="Heading2"/>
      </w:pPr>
      <w:r>
        <w:t xml:space="preserve">Honest risks and open questions</w:t>
      </w:r>
    </w:p>
    <w:p>
      <w:pPr>
        <w:pStyle w:val="ListParagraph"/>
        <w:numPr>
          <w:ilvl w:val="0"/>
          <w:numId w:val="13"/>
        </w:numPr>
      </w:pPr>
      <w:r>
        <w:rPr>
          <w:b/>
        </w:rPr>
        <w:t xml:space="preserve">"Everything, from everyone" is not a lane.</w:t>
      </w:r>
      <w:r>
        <w:t xml:space="preserve"> Vasquez's core advice was to pick one lane. As first described, this pivot is broader than the old Screwge, not narrower. It only works if it starts with one buyer and one moment (next section).</w:t>
      </w:r>
    </w:p>
    <w:p>
      <w:pPr>
        <w:pStyle w:val="ListParagraph"/>
        <w:numPr>
          <w:ilvl w:val="0"/>
          <w:numId w:val="13"/>
        </w:numPr>
      </w:pPr>
      <w:r>
        <w:rPr>
          <w:b/>
        </w:rPr>
        <w:t xml:space="preserve">Getting the data is harder than the AI.</w:t>
      </w:r>
      <w:r>
        <w:t xml:space="preserve"> Every company on a project has its own inbox and its own IT department. "A plugin in everyone's inbox" means a separate sale and security review at the owner, the GC, the architect and each sub. Most won't install something just because another party asked. Start with the one inbox you can get, the owner's, and let the other parties opt in later.</w:t>
      </w:r>
    </w:p>
    <w:p>
      <w:pPr>
        <w:pStyle w:val="ListParagraph"/>
        <w:numPr>
          <w:ilvl w:val="0"/>
          <w:numId w:val="13"/>
        </w:numPr>
      </w:pPr>
      <w:r>
        <w:rPr>
          <w:b/>
        </w:rPr>
        <w:t xml:space="preserve">Platform risk.</w:t>
      </w:r>
      <w:r>
        <w:t xml:space="preserve"> Procore, Trimble and Oracle control their APIs and marketplace terms, and they're building this same capability. A plugin can be cut off or copied.</w:t>
      </w:r>
    </w:p>
    <w:p>
      <w:pPr>
        <w:pStyle w:val="ListParagraph"/>
        <w:numPr>
          <w:ilvl w:val="0"/>
          <w:numId w:val="13"/>
        </w:numPr>
      </w:pPr>
      <w:r>
        <w:rPr>
          <w:b/>
        </w:rPr>
        <w:t xml:space="preserve">Not everyone wants a perfect record.</w:t>
      </w:r>
      <w:r>
        <w:t xml:space="preserve"> GCs and subs won't want owners reading their internal email. A complete record can also be demanded as evidence in a lawsuit, and some legal teams will resist creating one. Who sees what is a core product decision.</w:t>
      </w:r>
    </w:p>
    <w:p>
      <w:pPr>
        <w:pStyle w:val="ListParagraph"/>
        <w:numPr>
          <w:ilvl w:val="0"/>
          <w:numId w:val="13"/>
        </w:numPr>
      </w:pPr>
      <w:r>
        <w:rPr>
          <w:b/>
        </w:rPr>
        <w:t xml:space="preserve">Accuracy and trust.</w:t>
      </w:r>
      <w:r>
        <w:t xml:space="preserve"> An AI summary that gets a decision wrong is worse than no summary. Every entry needs a source link, and decisions need a person to confirm them.</w:t>
      </w:r>
    </w:p>
    <w:p>
      <w:pPr>
        <w:pStyle w:val="ListParagraph"/>
        <w:numPr>
          <w:ilvl w:val="0"/>
          <w:numId w:val="13"/>
        </w:numPr>
      </w:pPr>
      <w:r>
        <w:rPr>
          <w:b/>
        </w:rPr>
        <w:t xml:space="preserve">Traction resets.</w:t>
      </w:r>
      <w:r>
        <w:t xml:space="preserve"> The current LOIs and the live pilot are with Indian contractors on the verification product. They don't carry over to a US owner-side memory product. Be upfront about this with investors.</w:t>
      </w:r>
    </w:p>
    <w:p>
      <w:pPr>
        <w:pStyle w:val="ListParagraph"/>
        <w:numPr>
          <w:ilvl w:val="0"/>
          <w:numId w:val="13"/>
        </w:numPr>
      </w:pPr>
      <w:r>
        <w:rPr>
          <w:b/>
        </w:rPr>
        <w:t xml:space="preserve">Team credibility.</w:t>
      </w:r>
      <w:r>
        <w:t xml:space="preserve"> US construction buyers will ask who you are. The answer has to be owner-side access through USC plus a working demo on real project data.</w:t>
      </w:r>
    </w:p>
    <w:p>
      <w:pPr>
        <w:pStyle w:val="Heading2"/>
      </w:pPr>
      <w:r>
        <w:t xml:space="preserve">Recommended wedge: handover and closeout for university capital programs</w:t>
      </w:r>
    </w:p>
    <w:p>
      <w:pPr>
        <w:pStyle w:val="ListParagraph"/>
        <w:numPr>
          <w:ilvl w:val="0"/>
          <w:numId w:val="14"/>
        </w:numPr>
      </w:pPr>
      <w:r>
        <w:rPr>
          <w:b/>
        </w:rPr>
        <w:t xml:space="preserve">One buyer:</w:t>
      </w:r>
      <w:r>
        <w:t xml:space="preserve"> the owner's rep team running a university capital program</w:t>
      </w:r>
    </w:p>
    <w:p>
      <w:pPr>
        <w:pStyle w:val="ListParagraph"/>
        <w:numPr>
          <w:ilvl w:val="0"/>
          <w:numId w:val="14"/>
        </w:numPr>
      </w:pPr>
      <w:r>
        <w:rPr>
          <w:b/>
        </w:rPr>
        <w:t xml:space="preserve">One moment:</w:t>
      </w:r>
      <w:r>
        <w:t xml:space="preserve"> closeout (the "stuck at 95%" problem) and PM handover</w:t>
      </w:r>
    </w:p>
    <w:p>
      <w:pPr>
        <w:pStyle w:val="ListParagraph"/>
        <w:numPr>
          <w:ilvl w:val="0"/>
          <w:numId w:val="14"/>
        </w:numPr>
      </w:pPr>
      <w:r>
        <w:rPr>
          <w:b/>
        </w:rPr>
        <w:t xml:space="preserve">One input to start:</w:t>
      </w:r>
      <w:r>
        <w:t xml:space="preserve"> the owner team's project inbox plus Trimble exports, read-only</w:t>
      </w:r>
    </w:p>
    <w:p>
      <w:pPr>
        <w:pStyle w:val="ListParagraph"/>
        <w:numPr>
          <w:ilvl w:val="0"/>
          <w:numId w:val="14"/>
        </w:numPr>
      </w:pPr>
      <w:r>
        <w:rPr>
          <w:b/>
        </w:rPr>
        <w:t xml:space="preserve">One output to get right:</w:t>
      </w:r>
      <w:r>
        <w:t xml:space="preserve"> a living decision log and open-items tracker, plus a handover brief on demand</w:t>
      </w:r>
    </w:p>
    <w:p>
      <w:pPr/>
      <w:r>
        <w:rPr>
          <w:b/>
        </w:rPr>
        <w:t xml:space="preserve">Positioning line:</w:t>
      </w:r>
      <w:r>
        <w:t xml:space="preserve"> </w:t>
      </w:r>
      <w:r>
        <w:rPr>
          <w:i/>
        </w:rPr>
        <w:t xml:space="preserve">Screwge is the owner's project memory. Every decision, commitment and open item across every contractor's system, each with a link to its source.</w:t>
      </w:r>
    </w:p>
    <w:p>
      <w:pPr>
        <w:pStyle w:val="Heading3"/>
      </w:pPr>
      <w:r>
        <w:t xml:space="preserve">Why this lane</w:t>
      </w:r>
    </w:p>
    <w:p>
      <w:pPr>
        <w:pStyle w:val="ListParagraph"/>
        <w:numPr>
          <w:ilvl w:val="0"/>
          <w:numId w:val="15"/>
        </w:numPr>
      </w:pPr>
      <w:r>
        <w:rPr>
          <w:b/>
        </w:rPr>
        <w:t xml:space="preserve">The owner spans everything.</w:t>
      </w:r>
      <w:r>
        <w:t xml:space="preserve"> It's the one party whose view covers every GC on a project, and it outlasts all of them.</w:t>
      </w:r>
    </w:p>
    <w:p>
      <w:pPr>
        <w:pStyle w:val="ListParagraph"/>
        <w:numPr>
          <w:ilvl w:val="0"/>
          <w:numId w:val="15"/>
        </w:numPr>
      </w:pPr>
      <w:r>
        <w:rPr>
          <w:b/>
        </w:rPr>
        <w:t xml:space="preserve">Incentives line up.</w:t>
      </w:r>
      <w:r>
        <w:t xml:space="preserve"> The owner holds the money and the long liability, so it wants a clean record. GCs sometimes benefit from ambiguity.</w:t>
      </w:r>
    </w:p>
    <w:p>
      <w:pPr>
        <w:pStyle w:val="ListParagraph"/>
        <w:numPr>
          <w:ilvl w:val="0"/>
          <w:numId w:val="15"/>
        </w:numPr>
      </w:pPr>
      <w:r>
        <w:rPr>
          <w:b/>
        </w:rPr>
        <w:t xml:space="preserve">Universities are a tight network.</w:t>
      </w:r>
      <w:r>
        <w:t xml:space="preserve"> Facilities leaders talk to each other through groups like APPA and CMAA, so one good reference spreads.</w:t>
      </w:r>
    </w:p>
    <w:p>
      <w:pPr>
        <w:pStyle w:val="ListParagraph"/>
        <w:numPr>
          <w:ilvl w:val="0"/>
          <w:numId w:val="15"/>
        </w:numPr>
      </w:pPr>
      <w:r>
        <w:rPr>
          <w:b/>
        </w:rPr>
        <w:t xml:space="preserve">You already have access.</w:t>
      </w:r>
      <w:r>
        <w:t xml:space="preserve"> USC is a named customer of Trimble's owner platform, Vasquez is an owner's rep there, you're connected to the CMAA club, and Pusphas is at Vanderbilt.</w:t>
      </w:r>
    </w:p>
    <w:p>
      <w:pPr>
        <w:pStyle w:val="Heading3"/>
      </w:pPr>
      <w:r>
        <w:t xml:space="preserve">How it expands</w:t>
      </w:r>
    </w:p>
    <w:p>
      <w:pPr>
        <w:pStyle w:val="ListParagraph"/>
        <w:numPr>
          <w:ilvl w:val="0"/>
          <w:numId w:val="16"/>
        </w:numPr>
      </w:pPr>
      <w:r>
        <w:rPr>
          <w:b/>
        </w:rPr>
        <w:t xml:space="preserve">Design partner:</w:t>
      </w:r>
      <w:r>
        <w:t xml:space="preserve"> one owner, one to three projects, owner inbox plus one platform export. Free.</w:t>
      </w:r>
    </w:p>
    <w:p>
      <w:pPr>
        <w:pStyle w:val="ListParagraph"/>
        <w:numPr>
          <w:ilvl w:val="0"/>
          <w:numId w:val="16"/>
        </w:numPr>
      </w:pPr>
      <w:r>
        <w:rPr>
          <w:b/>
        </w:rPr>
        <w:t xml:space="preserve">More owners:</w:t>
      </w:r>
      <w:r>
        <w:t xml:space="preserve"> other universities, then hospitals and public agencies. The owner-side workflow is similar and they often use the same platforms (Trimble, Kahua).</w:t>
      </w:r>
    </w:p>
    <w:p>
      <w:pPr>
        <w:pStyle w:val="ListParagraph"/>
        <w:numPr>
          <w:ilvl w:val="0"/>
          <w:numId w:val="16"/>
        </w:numPr>
      </w:pPr>
      <w:r>
        <w:rPr>
          <w:b/>
        </w:rPr>
        <w:t xml:space="preserve">Cross-party:</w:t>
      </w:r>
      <w:r>
        <w:t xml:space="preserve"> invite the GCs and architects on those projects to connect their side, so the record covers every party.</w:t>
      </w:r>
    </w:p>
    <w:p>
      <w:pPr>
        <w:pStyle w:val="ListParagraph"/>
        <w:numPr>
          <w:ilvl w:val="0"/>
          <w:numId w:val="16"/>
        </w:numPr>
      </w:pPr>
      <w:r>
        <w:rPr>
          <w:b/>
        </w:rPr>
        <w:t xml:space="preserve">Evidence and money:</w:t>
      </w:r>
      <w:r>
        <w:t xml:space="preserve"> link decisions to field evidence (today's verification product) and move into payment and closeout workflows.</w:t>
      </w:r>
    </w:p>
    <w:p>
      <w:pPr>
        <w:pStyle w:val="Heading2"/>
      </w:pPr>
      <w:r>
        <w:t xml:space="preserve">Validation plan: the next three weeks</w:t>
      </w:r>
    </w:p>
    <w:p>
      <w:pPr>
        <w:pStyle w:val="Heading3"/>
      </w:pPr>
      <w:r>
        <w:t xml:space="preserve">Week 1: ten owner's-rep conversations</w:t>
      </w:r>
    </w:p>
    <w:p>
      <w:pPr/>
      <w:r>
        <w:rPr>
          <w:b/>
        </w:rPr>
        <w:t xml:space="preserve">Who:</w:t>
      </w:r>
      <w:r>
        <w:t xml:space="preserve"> USC's capital construction team (through Vasquez), Vanderbilt facilities (through Pusphas), CMAA contacts, and owner's reps at two or three other LA universities.</w:t>
      </w:r>
    </w:p>
    <w:p>
      <w:pPr/>
      <w:r>
        <w:rPr>
          <w:b/>
        </w:rPr>
        <w:t xml:space="preserve">Questions to ask:</w:t>
      </w:r>
    </w:p>
    <w:p>
      <w:pPr>
        <w:pStyle w:val="ListParagraph"/>
        <w:numPr>
          <w:ilvl w:val="0"/>
          <w:numId w:val="17"/>
        </w:numPr>
      </w:pPr>
      <w:r>
        <w:t xml:space="preserve">Walk me through the last time someone asked "why did we decide X?" How long did the answer take, and where did you find it?</w:t>
      </w:r>
    </w:p>
    <w:p>
      <w:pPr>
        <w:pStyle w:val="ListParagraph"/>
        <w:numPr>
          <w:ilvl w:val="0"/>
          <w:numId w:val="17"/>
        </w:numPr>
      </w:pPr>
      <w:r>
        <w:t xml:space="preserve">When a PM leaves mid-project, what does the handover look like today?</w:t>
      </w:r>
    </w:p>
    <w:p>
      <w:pPr>
        <w:pStyle w:val="ListParagraph"/>
        <w:numPr>
          <w:ilvl w:val="0"/>
          <w:numId w:val="17"/>
        </w:numPr>
      </w:pPr>
      <w:r>
        <w:t xml:space="preserve">Where do decisions actually get made: email, meetings, or Trimble?</w:t>
      </w:r>
    </w:p>
    <w:p>
      <w:pPr>
        <w:pStyle w:val="ListParagraph"/>
        <w:numPr>
          <w:ilvl w:val="0"/>
          <w:numId w:val="17"/>
        </w:numPr>
      </w:pPr>
      <w:r>
        <w:t xml:space="preserve">What do you export from your platform, and who reads it?</w:t>
      </w:r>
    </w:p>
    <w:p>
      <w:pPr>
        <w:pStyle w:val="ListParagraph"/>
        <w:numPr>
          <w:ilvl w:val="0"/>
          <w:numId w:val="17"/>
        </w:numPr>
      </w:pPr>
      <w:r>
        <w:t xml:space="preserve">What's still open on your oldest "95% done" project, and what is it costing you?</w:t>
      </w:r>
    </w:p>
    <w:p>
      <w:pPr>
        <w:pStyle w:val="ListParagraph"/>
        <w:numPr>
          <w:ilvl w:val="0"/>
          <w:numId w:val="17"/>
        </w:numPr>
      </w:pPr>
      <w:r>
        <w:t xml:space="preserve">What would IT require before a tool could read project email?</w:t>
      </w:r>
    </w:p>
    <w:p>
      <w:pPr>
        <w:pStyle w:val="ListParagraph"/>
        <w:numPr>
          <w:ilvl w:val="0"/>
          <w:numId w:val="17"/>
        </w:numPr>
      </w:pPr>
      <w:r>
        <w:t xml:space="preserve">Would you pay to make this go away? Who would sign off, and from which budget?</w:t>
      </w:r>
    </w:p>
    <w:p>
      <w:pPr>
        <w:pStyle w:val="Heading3"/>
      </w:pPr>
      <w:r>
        <w:t xml:space="preserve">Week 2: concierge test</w:t>
      </w:r>
    </w:p>
    <w:p>
      <w:pPr>
        <w:pStyle w:val="ListParagraph"/>
        <w:numPr>
          <w:ilvl w:val="0"/>
          <w:numId w:val="18"/>
        </w:numPr>
      </w:pPr>
      <w:r>
        <w:t xml:space="preserve">Ask one owner, ideally Vasquez's team, for the email and platform exports from one closed or stalled project. Get written permission.</w:t>
      </w:r>
    </w:p>
    <w:p>
      <w:pPr>
        <w:pStyle w:val="ListParagraph"/>
        <w:numPr>
          <w:ilvl w:val="0"/>
          <w:numId w:val="18"/>
        </w:numPr>
      </w:pPr>
      <w:r>
        <w:t xml:space="preserve">Build the decision log, open-items list and handover brief by hand with AI help. Don't build the product yet.</w:t>
      </w:r>
    </w:p>
    <w:p>
      <w:pPr>
        <w:pStyle w:val="ListParagraph"/>
        <w:numPr>
          <w:ilvl w:val="0"/>
          <w:numId w:val="18"/>
        </w:numPr>
      </w:pPr>
      <w:r>
        <w:t xml:space="preserve">Show it to them and ask what's wrong, what's missing, and what they'd pay for it.</w:t>
      </w:r>
    </w:p>
    <w:p>
      <w:pPr>
        <w:pStyle w:val="ListParagraph"/>
        <w:numPr>
          <w:ilvl w:val="0"/>
          <w:numId w:val="18"/>
        </w:numPr>
      </w:pPr>
      <w:r>
        <w:t xml:space="preserve">Measure how long it took, how many decisions and open items you found, and how many the owner had lost track of.</w:t>
      </w:r>
    </w:p>
    <w:p>
      <w:pPr>
        <w:pStyle w:val="Heading3"/>
      </w:pPr>
      <w:r>
        <w:t xml:space="preserve">Week 3: decide</w:t>
      </w:r>
    </w:p>
    <w:p>
      <w:pPr>
        <w:pStyle w:val="ListParagraph"/>
        <w:numPr>
          <w:ilvl w:val="0"/>
          <w:numId w:val="19"/>
        </w:numPr>
      </w:pPr>
      <w:r>
        <w:rPr>
          <w:b/>
        </w:rPr>
        <w:t xml:space="preserve">Keep going if</w:t>
      </w:r>
      <w:r>
        <w:t xml:space="preserve"> at least 3 of the 10 owners rank handover or closeout as a top-three pain, the concierge output turns up at least one thing the partner had lost track of, and at least one owner says they'd pilot it.</w:t>
      </w:r>
    </w:p>
    <w:p>
      <w:pPr>
        <w:pStyle w:val="ListParagraph"/>
        <w:numPr>
          <w:ilvl w:val="0"/>
          <w:numId w:val="19"/>
        </w:numPr>
      </w:pPr>
      <w:r>
        <w:rPr>
          <w:b/>
        </w:rPr>
        <w:t xml:space="preserve">Change the approach if</w:t>
      </w:r>
      <w:r>
        <w:t xml:space="preserve"> email access is a hard no. Switch the input to a project BCC address or forwarded emails, which needs no IT integration.</w:t>
      </w:r>
    </w:p>
    <w:p>
      <w:pPr>
        <w:pStyle w:val="ListParagraph"/>
        <w:numPr>
          <w:ilvl w:val="0"/>
          <w:numId w:val="19"/>
        </w:numPr>
      </w:pPr>
      <w:r>
        <w:rPr>
          <w:b/>
        </w:rPr>
        <w:t xml:space="preserve">Walk away from this lane if</w:t>
      </w:r>
      <w:r>
        <w:t xml:space="preserve"> owners say Trimble, Kahua or Newforma already covers it, or nobody can name a budget for it.</w:t>
      </w:r>
    </w:p>
    <w:p>
      <w:pPr>
        <w:pStyle w:val="Heading2"/>
      </w:pPr>
      <w:r>
        <w:t xml:space="preserve">Sources</w:t>
      </w:r>
    </w:p>
    <w:p>
      <w:pPr/>
      <w:r>
        <w:rPr>
          <w:b/>
        </w:rPr>
        <w:t xml:space="preserve">Field notes</w:t>
      </w:r>
    </w:p>
    <w:p>
      <w:pPr>
        <w:pStyle w:val="ListParagraph"/>
        <w:numPr>
          <w:ilvl w:val="0"/>
          <w:numId w:val="20"/>
        </w:numPr>
      </w:pPr>
      <w:r>
        <w:t xml:space="preserve">Conversation with Prof. Vasquez, USC owner's rep, September 2026 (curtain decision, 95-item punch list, Trimble as the North Star, sub PM turnover)</w:t>
      </w:r>
    </w:p>
    <w:p>
      <w:pPr/>
      <w:r>
        <w:rPr>
          <w:b/>
        </w:rPr>
        <w:t xml:space="preserve">The problem</w:t>
      </w:r>
    </w:p>
    <w:p>
      <w:pPr>
        <w:pStyle w:val="ListParagraph"/>
        <w:numPr>
          <w:ilvl w:val="0"/>
          <w:numId w:val="21"/>
        </w:numPr>
      </w:pPr>
      <w:hyperlink r:id="rId3" w:history="1">
        <w:r>
          <w:rPr>
            <w:rStyle w:val="Hyperlink"/>
          </w:rPr>
          <w:t xml:space="preserve">Construction Dive: PlanGrid &amp; FMI, </w:t>
        </w:r>
      </w:hyperlink>
      <w:hyperlink r:id="rId3" w:history="1">
        <w:r>
          <w:rPr>
            <w:rStyle w:val="Hyperlink"/>
            <w:i/>
          </w:rPr>
          <w:t xml:space="preserve">Construction Disconnected</w:t>
        </w:r>
      </w:hyperlink>
      <w:hyperlink r:id="rId3" w:history="1">
        <w:r>
          <w:rPr>
            <w:rStyle w:val="Hyperlink"/>
          </w:rPr>
          <w:t xml:space="preserve"> (2018)</w:t>
        </w:r>
      </w:hyperlink>
    </w:p>
    <w:p>
      <w:pPr>
        <w:pStyle w:val="ListParagraph"/>
        <w:numPr>
          <w:ilvl w:val="0"/>
          <w:numId w:val="21"/>
        </w:numPr>
      </w:pPr>
      <w:hyperlink r:id="rId4" w:history="1">
        <w:r>
          <w:rPr>
            <w:rStyle w:val="Hyperlink"/>
          </w:rPr>
          <w:t xml:space="preserve">Bluebeam: breakdown of the 14 hours/week</w:t>
        </w:r>
      </w:hyperlink>
    </w:p>
    <w:p>
      <w:pPr>
        <w:pStyle w:val="ListParagraph"/>
        <w:numPr>
          <w:ilvl w:val="0"/>
          <w:numId w:val="21"/>
        </w:numPr>
      </w:pPr>
      <w:hyperlink r:id="rId5" w:history="1">
        <w:r>
          <w:rPr>
            <w:rStyle w:val="Hyperlink"/>
          </w:rPr>
          <w:t xml:space="preserve">Autodesk &amp; FMI, </w:t>
        </w:r>
      </w:hyperlink>
      <w:hyperlink r:id="rId5" w:history="1">
        <w:r>
          <w:rPr>
            <w:rStyle w:val="Hyperlink"/>
            <w:i/>
          </w:rPr>
          <w:t xml:space="preserve">Harnessing the Data Advantage in Construction</w:t>
        </w:r>
      </w:hyperlink>
      <w:hyperlink r:id="rId5" w:history="1">
        <w:r>
          <w:rPr>
            <w:rStyle w:val="Hyperlink"/>
          </w:rPr>
          <w:t xml:space="preserve"> (2021)</w:t>
        </w:r>
      </w:hyperlink>
    </w:p>
    <w:p>
      <w:pPr>
        <w:pStyle w:val="ListParagraph"/>
        <w:numPr>
          <w:ilvl w:val="0"/>
          <w:numId w:val="21"/>
        </w:numPr>
      </w:pPr>
      <w:hyperlink r:id="rId6" w:history="1">
        <w:r>
          <w:rPr>
            <w:rStyle w:val="Hyperlink"/>
          </w:rPr>
          <w:t xml:space="preserve">CFMA, 2025 Construction Compensation Trends</w:t>
        </w:r>
      </w:hyperlink>
    </w:p>
    <w:p>
      <w:pPr>
        <w:pStyle w:val="ListParagraph"/>
        <w:numPr>
          <w:ilvl w:val="0"/>
          <w:numId w:val="21"/>
        </w:numPr>
      </w:pPr>
      <w:hyperlink r:id="rId7" w:history="1">
        <w:r>
          <w:rPr>
            <w:rStyle w:val="Hyperlink"/>
          </w:rPr>
          <w:t xml:space="preserve">Vantage Circle, construction retention (cites The Resource Company, 2025)</w:t>
        </w:r>
      </w:hyperlink>
    </w:p>
    <w:p>
      <w:pPr>
        <w:pStyle w:val="ListParagraph"/>
        <w:numPr>
          <w:ilvl w:val="0"/>
          <w:numId w:val="21"/>
        </w:numPr>
      </w:pPr>
      <w:hyperlink r:id="rId8" w:history="1">
        <w:r>
          <w:rPr>
            <w:rStyle w:val="Hyperlink"/>
          </w:rPr>
          <w:t xml:space="preserve">ENR on the Arcadis 2025 Global Construction Disputes Report</w:t>
        </w:r>
      </w:hyperlink>
    </w:p>
    <w:p>
      <w:pPr>
        <w:pStyle w:val="ListParagraph"/>
        <w:numPr>
          <w:ilvl w:val="0"/>
          <w:numId w:val="21"/>
        </w:numPr>
      </w:pPr>
      <w:hyperlink r:id="rId9" w:history="1">
        <w:r>
          <w:rPr>
            <w:rStyle w:val="Hyperlink"/>
          </w:rPr>
          <w:t xml:space="preserve">Arcadis report via CMAA (PDF)</w:t>
        </w:r>
      </w:hyperlink>
    </w:p>
    <w:p>
      <w:pPr>
        <w:pStyle w:val="ListParagraph"/>
        <w:numPr>
          <w:ilvl w:val="0"/>
          <w:numId w:val="21"/>
        </w:numPr>
      </w:pPr>
      <w:hyperlink r:id="rId10" w:history="1">
        <w:r>
          <w:rPr>
            <w:rStyle w:val="Hyperlink"/>
          </w:rPr>
          <w:t xml:space="preserve">Bay Legal: California CCP §337.15 statute of repose</w:t>
        </w:r>
      </w:hyperlink>
    </w:p>
    <w:p>
      <w:pPr>
        <w:pStyle w:val="ListParagraph"/>
        <w:numPr>
          <w:ilvl w:val="0"/>
          <w:numId w:val="21"/>
        </w:numPr>
      </w:pPr>
      <w:hyperlink r:id="rId11" w:history="1">
        <w:r>
          <w:rPr>
            <w:rStyle w:val="Hyperlink"/>
          </w:rPr>
          <w:t xml:space="preserve">US Census, construction spending, 2024 annual</w:t>
        </w:r>
      </w:hyperlink>
    </w:p>
    <w:p>
      <w:pPr/>
      <w:r>
        <w:rPr>
          <w:b/>
        </w:rPr>
        <w:t xml:space="preserve">Competition and platforms</w:t>
      </w:r>
    </w:p>
    <w:p>
      <w:pPr>
        <w:pStyle w:val="ListParagraph"/>
        <w:numPr>
          <w:ilvl w:val="0"/>
          <w:numId w:val="22"/>
        </w:numPr>
      </w:pPr>
      <w:hyperlink r:id="rId12" w:history="1">
        <w:r>
          <w:rPr>
            <w:rStyle w:val="Hyperlink"/>
          </w:rPr>
          <w:t xml:space="preserve">Newforma Konekt: project email</w:t>
        </w:r>
      </w:hyperlink>
    </w:p>
    <w:p>
      <w:pPr>
        <w:pStyle w:val="ListParagraph"/>
        <w:numPr>
          <w:ilvl w:val="0"/>
          <w:numId w:val="22"/>
        </w:numPr>
      </w:pPr>
      <w:hyperlink r:id="rId13" w:history="1">
        <w:r>
          <w:rPr>
            <w:rStyle w:val="Hyperlink"/>
          </w:rPr>
          <w:t xml:space="preserve">Newforma World 2026 announcements</w:t>
        </w:r>
      </w:hyperlink>
    </w:p>
    <w:p>
      <w:pPr>
        <w:pStyle w:val="ListParagraph"/>
        <w:numPr>
          <w:ilvl w:val="0"/>
          <w:numId w:val="22"/>
        </w:numPr>
      </w:pPr>
      <w:hyperlink r:id="rId14" w:history="1">
        <w:r>
          <w:rPr>
            <w:rStyle w:val="Hyperlink"/>
          </w:rPr>
          <w:t xml:space="preserve">Oracle Aconex</w:t>
        </w:r>
      </w:hyperlink>
    </w:p>
    <w:p>
      <w:pPr>
        <w:pStyle w:val="ListParagraph"/>
        <w:numPr>
          <w:ilvl w:val="0"/>
          <w:numId w:val="22"/>
        </w:numPr>
      </w:pPr>
      <w:hyperlink r:id="rId15" w:history="1">
        <w:r>
          <w:rPr>
            <w:rStyle w:val="Hyperlink"/>
          </w:rPr>
          <w:t xml:space="preserve">Procore: Groundbreak 2025 AI announcements</w:t>
        </w:r>
      </w:hyperlink>
    </w:p>
    <w:p>
      <w:pPr>
        <w:pStyle w:val="ListParagraph"/>
        <w:numPr>
          <w:ilvl w:val="0"/>
          <w:numId w:val="22"/>
        </w:numPr>
      </w:pPr>
      <w:hyperlink r:id="rId16" w:history="1">
        <w:r>
          <w:rPr>
            <w:rStyle w:val="Hyperlink"/>
          </w:rPr>
          <w:t xml:space="preserve">Procore 10-Q: Datagrid acquisition ($168M)</w:t>
        </w:r>
      </w:hyperlink>
    </w:p>
    <w:p>
      <w:pPr>
        <w:pStyle w:val="ListParagraph"/>
        <w:numPr>
          <w:ilvl w:val="0"/>
          <w:numId w:val="22"/>
        </w:numPr>
      </w:pPr>
      <w:hyperlink r:id="rId17" w:history="1">
        <w:r>
          <w:rPr>
            <w:rStyle w:val="Hyperlink"/>
          </w:rPr>
          <w:t xml:space="preserve">AEC Magazine: Procore acquires Datagrid</w:t>
        </w:r>
      </w:hyperlink>
    </w:p>
    <w:p>
      <w:pPr>
        <w:pStyle w:val="ListParagraph"/>
        <w:numPr>
          <w:ilvl w:val="0"/>
          <w:numId w:val="22"/>
        </w:numPr>
      </w:pPr>
      <w:hyperlink r:id="rId18" w:history="1">
        <w:r>
          <w:rPr>
            <w:rStyle w:val="Hyperlink"/>
          </w:rPr>
          <w:t xml:space="preserve">Procore Developers (integrations, AI agents and MCP)</w:t>
        </w:r>
      </w:hyperlink>
    </w:p>
    <w:p>
      <w:pPr>
        <w:pStyle w:val="ListParagraph"/>
        <w:numPr>
          <w:ilvl w:val="0"/>
          <w:numId w:val="22"/>
        </w:numPr>
      </w:pPr>
      <w:hyperlink r:id="rId19" w:history="1">
        <w:r>
          <w:rPr>
            <w:rStyle w:val="Hyperlink"/>
          </w:rPr>
          <w:t xml:space="preserve">Contractor ToolStack: Procore pricing review</w:t>
        </w:r>
      </w:hyperlink>
    </w:p>
    <w:p>
      <w:pPr>
        <w:pStyle w:val="ListParagraph"/>
        <w:numPr>
          <w:ilvl w:val="0"/>
          <w:numId w:val="22"/>
        </w:numPr>
      </w:pPr>
      <w:hyperlink r:id="rId20" w:history="1">
        <w:r>
          <w:rPr>
            <w:rStyle w:val="Hyperlink"/>
          </w:rPr>
          <w:t xml:space="preserve">Trunk Tools: $40M Series B</w:t>
        </w:r>
      </w:hyperlink>
    </w:p>
    <w:p>
      <w:pPr>
        <w:pStyle w:val="ListParagraph"/>
        <w:numPr>
          <w:ilvl w:val="0"/>
          <w:numId w:val="22"/>
        </w:numPr>
      </w:pPr>
      <w:hyperlink r:id="rId21" w:history="1">
        <w:r>
          <w:rPr>
            <w:rStyle w:val="Hyperlink"/>
          </w:rPr>
          <w:t xml:space="preserve">AI Engineer: Trunk Tools profile (Suffolk deal)</w:t>
        </w:r>
      </w:hyperlink>
    </w:p>
    <w:p>
      <w:pPr>
        <w:pStyle w:val="ListParagraph"/>
        <w:numPr>
          <w:ilvl w:val="0"/>
          <w:numId w:val="22"/>
        </w:numPr>
      </w:pPr>
      <w:hyperlink r:id="rId22" w:history="1">
        <w:r>
          <w:rPr>
            <w:rStyle w:val="Hyperlink"/>
          </w:rPr>
          <w:t xml:space="preserve">Kahua: Noa launch</w:t>
        </w:r>
      </w:hyperlink>
    </w:p>
    <w:p>
      <w:pPr>
        <w:pStyle w:val="ListParagraph"/>
        <w:numPr>
          <w:ilvl w:val="0"/>
          <w:numId w:val="22"/>
        </w:numPr>
      </w:pPr>
      <w:hyperlink r:id="rId23" w:history="1">
        <w:r>
          <w:rPr>
            <w:rStyle w:val="Hyperlink"/>
          </w:rPr>
          <w:t xml:space="preserve">Mastt: AI project assistant</w:t>
        </w:r>
      </w:hyperlink>
    </w:p>
    <w:p>
      <w:pPr>
        <w:pStyle w:val="ListParagraph"/>
        <w:numPr>
          <w:ilvl w:val="0"/>
          <w:numId w:val="22"/>
        </w:numPr>
      </w:pPr>
      <w:hyperlink r:id="rId24" w:history="1">
        <w:r>
          <w:rPr>
            <w:rStyle w:val="Hyperlink"/>
          </w:rPr>
          <w:t xml:space="preserve">INGENIOUS.BUILD: e-Builder / Trimble Unity Construct overview (USC as customer)</w:t>
        </w:r>
      </w:hyperlink>
    </w:p>
    <w:p>
      <w:pPr>
        <w:pStyle w:val="ListParagraph"/>
        <w:numPr>
          <w:ilvl w:val="0"/>
          <w:numId w:val="22"/>
        </w:numPr>
      </w:pPr>
      <w:hyperlink r:id="rId25" w:history="1">
        <w:r>
          <w:rPr>
            <w:rStyle w:val="Hyperlink"/>
          </w:rPr>
          <w:t xml:space="preserve">Trimble: AI for capital improvement programs</w:t>
        </w:r>
      </w:hyperlink>
    </w:p>
    <w:p>
      <w:pPr>
        <w:pStyle w:val="ListParagraph"/>
        <w:numPr>
          <w:ilvl w:val="0"/>
          <w:numId w:val="22"/>
        </w:numPr>
      </w:pPr>
      <w:hyperlink r:id="rId26" w:history="1">
        <w:r>
          <w:rPr>
            <w:rStyle w:val="Hyperlink"/>
          </w:rPr>
          <w:t xml:space="preserve">iFieldSmart: construction email AI</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1"/>
    <w:lvlOverride w:ilvl="0">
      <w:startOverride w:val="1"/>
    </w:lvlOverride>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1"/>
    <w:lvlOverride w:ilvl="0">
      <w:startOverride w:val="1"/>
    </w:lvlOverride>
  </w:num>
  <w:num w:numId="17">
    <w:abstractNumId w:val="1"/>
    <w:lvlOverride w:ilvl="0">
      <w:startOverride w:val="1"/>
    </w:lvlOverride>
  </w:num>
  <w:num w:numId="18">
    <w:abstractNumId w:val="0"/>
  </w:num>
  <w:num w:numId="19">
    <w:abstractNumId w:val="0"/>
  </w:num>
  <w:num w:numId="20">
    <w:abstractNumId w:val="0"/>
  </w:num>
  <w:num w:numId="21">
    <w:abstractNumId w:val="0"/>
  </w:num>
  <w:num w:numId="2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constructiondive.com/news/industry-could-be-overspending-177b-per-year-study-finds/529450/" TargetMode="External"/><Relationship Id="rId4" Type="http://schemas.openxmlformats.org/officeDocument/2006/relationships/hyperlink" Target="https://blog.bluebeam.com/document-management-hidden-costs/" TargetMode="External"/><Relationship Id="rId5" Type="http://schemas.openxmlformats.org/officeDocument/2006/relationships/hyperlink" Target="https://investors.autodesk.com/news-releases/news-release-details/study-autodesk-and-fmi-finds-better-data-strategies-could-save" TargetMode="External"/><Relationship Id="rId6" Type="http://schemas.openxmlformats.org/officeDocument/2006/relationships/hyperlink" Target="https://cfma.org/articles/2-25-construction-compensation-trends" TargetMode="External"/><Relationship Id="rId7" Type="http://schemas.openxmlformats.org/officeDocument/2006/relationships/hyperlink" Target="https://www.vantagecircle.com/en/blog/employee-retention-construction-industry/" TargetMode="External"/><Relationship Id="rId8" Type="http://schemas.openxmlformats.org/officeDocument/2006/relationships/hyperlink" Target="https://www.enr.com/articles/61716-zero-disputes-and-stronger-relationships-a-new-vision-for-construction-says-ceo" TargetMode="External"/><Relationship Id="rId9" Type="http://schemas.openxmlformats.org/officeDocument/2006/relationships/hyperlink" Target="https://www.cmaanet.org/sites/default/files/2025-09/202515~1.PDF" TargetMode="External"/><Relationship Id="rId10" Type="http://schemas.openxmlformats.org/officeDocument/2006/relationships/hyperlink" Target="https://baylegal.com/the-10-year-clock-understanding-californias-statute-of-repose-for-hoa-construction-defects/" TargetMode="External"/><Relationship Id="rId11" Type="http://schemas.openxmlformats.org/officeDocument/2006/relationships/hyperlink" Target="https://www.census.gov/construction/c30/pdf/pr202412.pdf" TargetMode="External"/><Relationship Id="rId12" Type="http://schemas.openxmlformats.org/officeDocument/2006/relationships/hyperlink" Target="https://www.newforma.com/newforma-konekt/project-email/" TargetMode="External"/><Relationship Id="rId13" Type="http://schemas.openxmlformats.org/officeDocument/2006/relationships/hyperlink" Target="https://www.newforma.com/newforma-unveils-next-wave-of-ai-powered-innovation/" TargetMode="External"/><Relationship Id="rId14" Type="http://schemas.openxmlformats.org/officeDocument/2006/relationships/hyperlink" Target="https://www.oracle.com/construction-engineering/aconex/" TargetMode="External"/><Relationship Id="rId15" Type="http://schemas.openxmlformats.org/officeDocument/2006/relationships/hyperlink" Target="https://www.procore.com/press/procore-advances-the-future-of-construction-with-new-ai-innovations" TargetMode="External"/><Relationship Id="rId16" Type="http://schemas.openxmlformats.org/officeDocument/2006/relationships/hyperlink" Target="https://www.sec.gov/Archives/edgar/data/0001611052/000162828026031230/pcor-20260331.htm" TargetMode="External"/><Relationship Id="rId17" Type="http://schemas.openxmlformats.org/officeDocument/2006/relationships/hyperlink" Target="https://aecmag.com/news/procore-acquires-datagrid/" TargetMode="External"/><Relationship Id="rId18" Type="http://schemas.openxmlformats.org/officeDocument/2006/relationships/hyperlink" Target="https://developers.procore.com/" TargetMode="External"/><Relationship Id="rId19" Type="http://schemas.openxmlformats.org/officeDocument/2006/relationships/hyperlink" Target="https://contractortoolstack.com/software/procore/" TargetMode="External"/><Relationship Id="rId20" Type="http://schemas.openxmlformats.org/officeDocument/2006/relationships/hyperlink" Target="https://trunktools.com/resources/company-updates/trunk-tools-closes-40m-series-b-construction-ai-transformation/" TargetMode="External"/><Relationship Id="rId21" Type="http://schemas.openxmlformats.org/officeDocument/2006/relationships/hyperlink" Target="https://ai.engineer/orgs/trunk-tools" TargetMode="External"/><Relationship Id="rId22" Type="http://schemas.openxmlformats.org/officeDocument/2006/relationships/hyperlink" Target="https://resources.kahua.com/news/kahua-introduces-noa-embedded-ai-in-construction-project-management-platform" TargetMode="External"/><Relationship Id="rId23" Type="http://schemas.openxmlformats.org/officeDocument/2006/relationships/hyperlink" Target="https://www.mastt.com/use-cases/ai-project-assistant" TargetMode="External"/><Relationship Id="rId24" Type="http://schemas.openxmlformats.org/officeDocument/2006/relationships/hyperlink" Target="https://www.ingenious.build/blog-posts/e-builder-alternatives" TargetMode="External"/><Relationship Id="rId25" Type="http://schemas.openxmlformats.org/officeDocument/2006/relationships/hyperlink" Target="https://www.trimble.com/en/blog/construction/article/leveraging-artificial-intelligence-and-machine-learning-for-capital-improvement-program-performance" TargetMode="External"/><Relationship Id="rId26" Type="http://schemas.openxmlformats.org/officeDocument/2006/relationships/hyperlink" Target="https://www.ifieldsmart.ai/skills/construction-email-ai/"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Screwge Pivot The Project Memory Layer</dc:title>
  <dc:description>Claude Docs node/8b7fa00d-28a3@14 docx-w6</dc:description>
  <cp:revision>14</cp:revision>
</cp:coreProperties>
</file>