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500"/>
        <w:jc w:val="center"/>
      </w:pPr>
      <w:r>
        <w:rPr>
          <w:rFonts w:ascii="Times New Roman" w:hAnsi="Times New Roman"/>
          <w:b/>
          <w:color w:val="000000"/>
          <w:sz w:val="34"/>
        </w:rPr>
        <w:t>LOCALDROP: A LOCAL SUPPLIER DROPSHIPPING</w:t>
        <w:br/>
        <w:t>MARKETPLACE PLATFORM</w:t>
      </w:r>
    </w:p>
    <w:p>
      <w:pPr>
        <w:spacing w:before="300" w:after="400"/>
        <w:jc w:val="center"/>
      </w:pPr>
      <w:r>
        <w:rPr>
          <w:rFonts w:ascii="Times New Roman" w:hAnsi="Times New Roman"/>
          <w:sz w:val="24"/>
        </w:rPr>
        <w:t>Submitted in partial fulfillment of the requirements</w:t>
        <w:br/>
        <w:t>of the degree of</w:t>
        <w:br/>
      </w:r>
      <w:r>
        <w:rPr>
          <w:rFonts w:ascii="Times New Roman" w:hAnsi="Times New Roman"/>
          <w:b/>
          <w:sz w:val="26"/>
        </w:rPr>
        <w:t>Bachelor of Technology in Information Technology</w:t>
      </w:r>
    </w:p>
    <w:p>
      <w:pPr>
        <w:spacing w:before="400" w:after="400"/>
        <w:jc w:val="center"/>
      </w:pPr>
      <w:r>
        <w:rPr>
          <w:rFonts w:ascii="Times New Roman" w:hAnsi="Times New Roman"/>
          <w:sz w:val="24"/>
        </w:rPr>
        <w:t>By</w:t>
        <w:br/>
        <w:br/>
      </w:r>
      <w:r>
        <w:rPr>
          <w:rFonts w:ascii="Times New Roman" w:hAnsi="Times New Roman"/>
          <w:b/>
          <w:sz w:val="26"/>
        </w:rPr>
        <w:t>AYUSH KAMBLE (Roll No. 24101C0065)</w:t>
        <w:br/>
        <w:t>SHLOK SHINDE (Roll No. 24101C0063)</w:t>
      </w:r>
    </w:p>
    <w:p>
      <w:pPr>
        <w:spacing w:before="400" w:after="500"/>
        <w:jc w:val="center"/>
      </w:pPr>
      <w:r>
        <w:rPr>
          <w:rFonts w:ascii="Times New Roman" w:hAnsi="Times New Roman"/>
          <w:sz w:val="24"/>
        </w:rPr>
        <w:t>Under the Guidance of</w:t>
        <w:br/>
      </w:r>
      <w:r>
        <w:rPr>
          <w:rFonts w:ascii="Times New Roman" w:hAnsi="Times New Roman"/>
          <w:b/>
          <w:sz w:val="26"/>
        </w:rPr>
        <w:t>Prof. DEBARATI GHOSHAL</w:t>
        <w:br/>
      </w:r>
      <w:r>
        <w:rPr>
          <w:rFonts w:ascii="Times New Roman" w:hAnsi="Times New Roman"/>
          <w:sz w:val="24"/>
        </w:rPr>
        <w:t>Department of Information Technology</w:t>
      </w:r>
    </w:p>
    <w:p>
      <w:pPr>
        <w:spacing w:before="600" w:after="0"/>
        <w:jc w:val="center"/>
      </w:pPr>
      <w:r>
        <w:rPr>
          <w:rFonts w:ascii="Times New Roman" w:hAnsi="Times New Roman"/>
          <w:b/>
          <w:sz w:val="28"/>
        </w:rPr>
        <w:t>Vidyalankar Institute of Technology</w:t>
        <w:br/>
      </w:r>
      <w:r>
        <w:rPr>
          <w:rFonts w:ascii="Times New Roman" w:hAnsi="Times New Roman"/>
          <w:sz w:val="24"/>
        </w:rPr>
        <w:t>Wadala(E), Mumbai-400437</w:t>
        <w:br/>
        <w:br/>
        <w:t>University of Mumbai</w:t>
        <w:br/>
        <w:t>2026–27</w:t>
      </w:r>
    </w:p>
    <w:p>
      <w:r>
        <w:br w:type="page"/>
      </w:r>
    </w:p>
    <w:p>
      <w:pPr>
        <w:jc w:val="center"/>
      </w:pPr>
      <w:r>
        <w:rPr>
          <w:rFonts w:ascii="Times New Roman" w:hAnsi="Times New Roman"/>
          <w:sz w:val="22"/>
        </w:rPr>
        <w:t>II</w:t>
        <w:br/>
        <w:br/>
      </w:r>
    </w:p>
    <w:p>
      <w:pPr>
        <w:spacing w:after="600"/>
        <w:jc w:val="center"/>
      </w:pPr>
      <w:r>
        <w:rPr>
          <w:rFonts w:ascii="Times New Roman" w:hAnsi="Times New Roman"/>
          <w:b/>
          <w:sz w:val="32"/>
        </w:rPr>
        <w:t>CERTIFICATE OF APPROVAL</w:t>
      </w:r>
    </w:p>
    <w:p>
      <w:pPr>
        <w:spacing w:before="0" w:after="240" w:line="276" w:lineRule="auto"/>
        <w:jc w:val="center"/>
      </w:pPr>
      <w:r>
        <w:rPr>
          <w:rFonts w:ascii="Times New Roman" w:hAnsi="Times New Roman"/>
          <w:b w:val="0"/>
          <w:i w:val="0"/>
          <w:color w:val="000000"/>
          <w:sz w:val="24"/>
        </w:rPr>
        <w:t>This is to certify that the mini-project entitled</w:t>
      </w:r>
    </w:p>
    <w:p>
      <w:pPr>
        <w:spacing w:after="300"/>
        <w:jc w:val="center"/>
      </w:pPr>
      <w:r>
        <w:rPr>
          <w:rFonts w:ascii="Times New Roman" w:hAnsi="Times New Roman"/>
          <w:b/>
          <w:sz w:val="26"/>
        </w:rPr>
        <w:t>“LocalDrop: A Local Supplier Dropshipping Marketplace Platform”</w:t>
      </w:r>
    </w:p>
    <w:p>
      <w:pPr>
        <w:spacing w:before="0" w:after="300" w:line="276" w:lineRule="auto"/>
        <w:jc w:val="center"/>
      </w:pPr>
      <w:r>
        <w:rPr>
          <w:rFonts w:ascii="Times New Roman" w:hAnsi="Times New Roman"/>
          <w:b w:val="0"/>
          <w:i w:val="0"/>
          <w:color w:val="000000"/>
          <w:sz w:val="24"/>
        </w:rPr>
        <w:t>is a bonafide work of</w:t>
      </w:r>
    </w:p>
    <w:p>
      <w:pPr>
        <w:spacing w:after="500"/>
        <w:jc w:val="center"/>
      </w:pPr>
      <w:r>
        <w:rPr>
          <w:rFonts w:ascii="Times New Roman" w:hAnsi="Times New Roman"/>
          <w:b/>
          <w:sz w:val="26"/>
        </w:rPr>
        <w:t>AYUSH KAMBLE (Roll No. 24101C0065)</w:t>
        <w:br/>
        <w:t>SHLOK SHINDE (Roll No. 24101C0063)</w:t>
      </w:r>
    </w:p>
    <w:p>
      <w:pPr>
        <w:spacing w:before="0" w:after="1200" w:line="276" w:lineRule="auto"/>
        <w:jc w:val="center"/>
      </w:pPr>
      <w:r>
        <w:rPr>
          <w:rFonts w:ascii="Times New Roman" w:hAnsi="Times New Roman"/>
          <w:b w:val="0"/>
          <w:i w:val="0"/>
          <w:color w:val="000000"/>
          <w:sz w:val="24"/>
        </w:rPr>
        <w:t>submitted to the University of Mumbai in partial fulfillment of the requirement for the award of the degree of Bachelor of Technology in “INFORMATION TECHNOLOGY”.</w:t>
      </w:r>
    </w:p>
    <w:tbl>
      <w:tblPr>
        <w:tblW w:type="auto" w:w="0"/>
        <w:jc w:val="center"/>
        <w:tblLook w:firstColumn="1" w:firstRow="1" w:lastColumn="0" w:lastRow="0" w:noHBand="0" w:noVBand="1" w:val="04A0"/>
      </w:tblPr>
      <w:tblGrid>
        <w:gridCol w:w="2914"/>
        <w:gridCol w:w="2914"/>
        <w:gridCol w:w="2914"/>
      </w:tblGrid>
      <w:tr>
        <w:tc>
          <w:tcPr>
            <w:tcW w:type="dxa" w:w="3168"/>
          </w:tcPr>
          <w:p>
            <w:pPr>
              <w:jc w:val="center"/>
            </w:pPr>
            <w:r>
              <w:rPr>
                <w:rFonts w:ascii="Times New Roman" w:hAnsi="Times New Roman"/>
                <w:b/>
                <w:sz w:val="22"/>
              </w:rPr>
              <w:t>Guide</w:t>
              <w:br/>
              <w:t>(Prof. Debarati Ghoshal)</w:t>
            </w:r>
          </w:p>
        </w:tc>
        <w:tc>
          <w:tcPr>
            <w:tcW w:type="dxa" w:w="3168"/>
          </w:tcPr>
          <w:p>
            <w:pPr>
              <w:jc w:val="center"/>
            </w:pPr>
            <w:r>
              <w:rPr>
                <w:rFonts w:ascii="Times New Roman" w:hAnsi="Times New Roman"/>
                <w:b/>
                <w:sz w:val="22"/>
              </w:rPr>
              <w:t>Head of Department</w:t>
              <w:br/>
              <w:t>(Prof. Girish Bhole)</w:t>
            </w:r>
          </w:p>
        </w:tc>
        <w:tc>
          <w:tcPr>
            <w:tcW w:type="dxa" w:w="3168"/>
          </w:tcPr>
          <w:p>
            <w:pPr>
              <w:jc w:val="center"/>
            </w:pPr>
            <w:r>
              <w:rPr>
                <w:rFonts w:ascii="Times New Roman" w:hAnsi="Times New Roman"/>
                <w:b/>
                <w:sz w:val="22"/>
              </w:rPr>
              <w:t>Principal</w:t>
              <w:br/>
              <w:t>(Dr. S. A. Patekar)</w:t>
            </w:r>
          </w:p>
        </w:tc>
      </w:tr>
      <w:tr>
        <w:tc>
          <w:tcPr>
            <w:tcW w:type="dxa" w:w="2914"/>
          </w:tcPr>
          <w:p/>
        </w:tc>
        <w:tc>
          <w:tcPr>
            <w:tcW w:type="dxa" w:w="2914"/>
          </w:tcPr>
          <w:p/>
        </w:tc>
        <w:tc>
          <w:tcPr>
            <w:tcW w:type="dxa" w:w="2914"/>
          </w:tcPr>
          <w:p/>
        </w:tc>
      </w:tr>
    </w:tbl>
    <w:p>
      <w:r>
        <w:br w:type="page"/>
      </w:r>
    </w:p>
    <w:p>
      <w:pPr>
        <w:jc w:val="center"/>
      </w:pPr>
      <w:r>
        <w:rPr>
          <w:rFonts w:ascii="Times New Roman" w:hAnsi="Times New Roman"/>
          <w:sz w:val="22"/>
        </w:rPr>
        <w:t>III</w:t>
        <w:br/>
        <w:br/>
      </w:r>
    </w:p>
    <w:p>
      <w:pPr>
        <w:spacing w:after="500"/>
        <w:jc w:val="center"/>
      </w:pPr>
      <w:r>
        <w:rPr>
          <w:rFonts w:ascii="Times New Roman" w:hAnsi="Times New Roman"/>
          <w:b/>
          <w:sz w:val="32"/>
        </w:rPr>
        <w:t>Project Report Approval for B. Tech.</w:t>
      </w:r>
    </w:p>
    <w:p>
      <w:pPr>
        <w:spacing w:line="276" w:lineRule="auto" w:after="600"/>
        <w:jc w:val="both"/>
      </w:pPr>
      <w:r>
        <w:rPr>
          <w:rFonts w:ascii="Times New Roman" w:hAnsi="Times New Roman"/>
          <w:sz w:val="24"/>
        </w:rPr>
        <w:t xml:space="preserve">This project report entitled </w:t>
      </w:r>
      <w:r>
        <w:rPr>
          <w:rFonts w:ascii="Times New Roman" w:hAnsi="Times New Roman"/>
          <w:b/>
          <w:sz w:val="24"/>
        </w:rPr>
        <w:t xml:space="preserve">LocalDrop: A Local Supplier Dropshipping Marketplace Platform </w:t>
      </w:r>
      <w:r>
        <w:rPr>
          <w:rFonts w:ascii="Times New Roman" w:hAnsi="Times New Roman"/>
          <w:sz w:val="24"/>
        </w:rPr>
        <w:t>by</w:t>
        <w:br/>
        <w:t>1. Ayush Kamble (24101C0065)</w:t>
        <w:br/>
        <w:t>2. Shlok Shinde (24101C0063)</w:t>
        <w:br/>
        <w:br/>
        <w:t xml:space="preserve">is approved for the degree of </w:t>
      </w:r>
      <w:r>
        <w:rPr>
          <w:rFonts w:ascii="Times New Roman" w:hAnsi="Times New Roman"/>
          <w:b/>
          <w:sz w:val="24"/>
        </w:rPr>
        <w:t>Bachelor of Technology in Information Technology.</w:t>
      </w:r>
    </w:p>
    <w:p>
      <w:pPr>
        <w:spacing w:before="600" w:after="400"/>
        <w:jc w:val="right"/>
      </w:pPr>
      <w:r>
        <w:rPr>
          <w:rFonts w:ascii="Times New Roman" w:hAnsi="Times New Roman"/>
          <w:sz w:val="22"/>
        </w:rPr>
        <w:t>Examiners:</w:t>
        <w:br/>
        <w:br/>
        <w:t>1. --------------------------------------------------</w:t>
        <w:br/>
        <w:br/>
        <w:t>2. --------------------------------------------------</w:t>
      </w:r>
    </w:p>
    <w:p>
      <w:pPr>
        <w:spacing w:before="800"/>
      </w:pPr>
      <w:r>
        <w:rPr>
          <w:rFonts w:ascii="Times New Roman" w:hAnsi="Times New Roman"/>
          <w:sz w:val="22"/>
        </w:rPr>
        <w:t>Date: ____________________</w:t>
        <w:br/>
        <w:t>Place: Mumbai</w:t>
      </w:r>
    </w:p>
    <w:p>
      <w:r>
        <w:br w:type="page"/>
      </w:r>
    </w:p>
    <w:p>
      <w:pPr>
        <w:jc w:val="center"/>
      </w:pPr>
      <w:r>
        <w:rPr>
          <w:rFonts w:ascii="Times New Roman" w:hAnsi="Times New Roman"/>
          <w:sz w:val="22"/>
        </w:rPr>
        <w:t>IV</w:t>
        <w:br/>
        <w:br/>
      </w:r>
    </w:p>
    <w:p>
      <w:pPr>
        <w:spacing w:after="500"/>
        <w:jc w:val="center"/>
      </w:pPr>
      <w:r>
        <w:rPr>
          <w:rFonts w:ascii="Times New Roman" w:hAnsi="Times New Roman"/>
          <w:b/>
          <w:sz w:val="32"/>
        </w:rPr>
        <w:t>Declaration</w:t>
      </w:r>
    </w:p>
    <w:p>
      <w:pPr>
        <w:spacing w:before="0" w:after="700" w:line="276" w:lineRule="auto"/>
        <w:jc w:val="both"/>
      </w:pPr>
      <w:r>
        <w:rPr>
          <w:rFonts w:ascii="Times New Roman" w:hAnsi="Times New Roman"/>
          <w:b w:val="0"/>
          <w:i w:val="0"/>
          <w:color w:val="00000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W w:type="auto" w:w="0"/>
        <w:jc w:val="center"/>
        <w:tblLook w:firstColumn="1" w:firstRow="1" w:lastColumn="0" w:lastRow="0" w:noHBand="0" w:noVBand="1" w:val="04A0"/>
      </w:tblPr>
      <w:tblGrid>
        <w:gridCol w:w="2914"/>
        <w:gridCol w:w="2914"/>
        <w:gridCol w:w="2914"/>
      </w:tblGrid>
      <w:tr>
        <w:tc>
          <w:tcPr>
            <w:tcW w:type="dxa" w:w="2914"/>
          </w:tcPr>
          <w:p>
            <w:r>
              <w:rPr>
                <w:rFonts w:ascii="Times New Roman" w:hAnsi="Times New Roman"/>
                <w:b/>
                <w:sz w:val="22"/>
              </w:rPr>
              <w:t>Name of student</w:t>
            </w:r>
          </w:p>
        </w:tc>
        <w:tc>
          <w:tcPr>
            <w:tcW w:type="dxa" w:w="2914"/>
          </w:tcPr>
          <w:p>
            <w:r>
              <w:rPr>
                <w:rFonts w:ascii="Times New Roman" w:hAnsi="Times New Roman"/>
                <w:b/>
                <w:sz w:val="22"/>
              </w:rPr>
              <w:t>Roll No.</w:t>
            </w:r>
          </w:p>
        </w:tc>
        <w:tc>
          <w:tcPr>
            <w:tcW w:type="dxa" w:w="2914"/>
          </w:tcPr>
          <w:p>
            <w:r>
              <w:rPr>
                <w:rFonts w:ascii="Times New Roman" w:hAnsi="Times New Roman"/>
                <w:b/>
                <w:sz w:val="22"/>
              </w:rPr>
              <w:t>Signature</w:t>
            </w:r>
          </w:p>
        </w:tc>
      </w:tr>
      <w:tr>
        <w:tc>
          <w:tcPr>
            <w:tcW w:type="dxa" w:w="2914"/>
          </w:tcPr>
          <w:p>
            <w:r>
              <w:rPr>
                <w:rFonts w:ascii="Times New Roman" w:hAnsi="Times New Roman"/>
                <w:sz w:val="22"/>
              </w:rPr>
              <w:t>1. Ayush Kamble</w:t>
            </w:r>
          </w:p>
        </w:tc>
        <w:tc>
          <w:tcPr>
            <w:tcW w:type="dxa" w:w="2914"/>
          </w:tcPr>
          <w:p>
            <w:r>
              <w:rPr>
                <w:rFonts w:ascii="Times New Roman" w:hAnsi="Times New Roman"/>
                <w:sz w:val="22"/>
              </w:rPr>
              <w:t>24101C0065</w:t>
            </w:r>
          </w:p>
        </w:tc>
        <w:tc>
          <w:tcPr>
            <w:tcW w:type="dxa" w:w="2914"/>
          </w:tcPr>
          <w:p>
            <w:r>
              <w:rPr>
                <w:rFonts w:ascii="Times New Roman" w:hAnsi="Times New Roman"/>
                <w:sz w:val="22"/>
              </w:rPr>
              <w:t>____________________</w:t>
            </w:r>
          </w:p>
        </w:tc>
      </w:tr>
      <w:tr>
        <w:tc>
          <w:tcPr>
            <w:tcW w:type="dxa" w:w="2914"/>
          </w:tcPr>
          <w:p>
            <w:r>
              <w:rPr>
                <w:rFonts w:ascii="Times New Roman" w:hAnsi="Times New Roman"/>
                <w:sz w:val="22"/>
              </w:rPr>
              <w:t>2. Shlok Shinde</w:t>
            </w:r>
          </w:p>
        </w:tc>
        <w:tc>
          <w:tcPr>
            <w:tcW w:type="dxa" w:w="2914"/>
          </w:tcPr>
          <w:p>
            <w:r>
              <w:rPr>
                <w:rFonts w:ascii="Times New Roman" w:hAnsi="Times New Roman"/>
                <w:sz w:val="22"/>
              </w:rPr>
              <w:t>24101C0063</w:t>
            </w:r>
          </w:p>
        </w:tc>
        <w:tc>
          <w:tcPr>
            <w:tcW w:type="dxa" w:w="2914"/>
          </w:tcPr>
          <w:p>
            <w:r>
              <w:rPr>
                <w:rFonts w:ascii="Times New Roman" w:hAnsi="Times New Roman"/>
                <w:sz w:val="22"/>
              </w:rPr>
              <w:t>____________________</w:t>
            </w:r>
          </w:p>
        </w:tc>
      </w:tr>
    </w:tbl>
    <w:p>
      <w:pPr>
        <w:spacing w:before="800"/>
      </w:pPr>
      <w:r>
        <w:rPr>
          <w:rFonts w:ascii="Times New Roman" w:hAnsi="Times New Roman"/>
          <w:sz w:val="22"/>
        </w:rPr>
        <w:t>Date: ____________________</w:t>
      </w:r>
    </w:p>
    <w:p>
      <w:r>
        <w:br w:type="page"/>
      </w:r>
    </w:p>
    <w:p>
      <w:pPr>
        <w:jc w:val="center"/>
      </w:pPr>
      <w:r>
        <w:rPr>
          <w:rFonts w:ascii="Times New Roman" w:hAnsi="Times New Roman"/>
          <w:sz w:val="22"/>
        </w:rPr>
        <w:t>V</w:t>
        <w:br/>
        <w:br/>
      </w:r>
    </w:p>
    <w:p>
      <w:pPr>
        <w:spacing w:after="500"/>
        <w:jc w:val="center"/>
      </w:pPr>
      <w:r>
        <w:rPr>
          <w:rFonts w:ascii="Times New Roman" w:hAnsi="Times New Roman"/>
          <w:b/>
          <w:sz w:val="32"/>
        </w:rPr>
        <w:t>ACKNOWLEDGEMENT</w:t>
      </w:r>
    </w:p>
    <w:p>
      <w:pPr>
        <w:spacing w:before="0" w:after="240" w:line="276" w:lineRule="auto"/>
        <w:jc w:val="both"/>
      </w:pPr>
      <w:r>
        <w:rPr>
          <w:rFonts w:ascii="Times New Roman" w:hAnsi="Times New Roman"/>
          <w:b w:val="0"/>
          <w:i w:val="0"/>
          <w:color w:val="000000"/>
          <w:sz w:val="24"/>
        </w:rPr>
        <w:t>We are pleased to present “LOCALDROP: A LOCAL SUPPLIER DROPSHIPPING MARKETPLACE PLATFORM” as our Data Warehouse Management (DWM) mini-project and take this opportunity to express our profound gratitude to all those who helped us in the successful completion of this project.</w:t>
      </w:r>
    </w:p>
    <w:p>
      <w:pPr>
        <w:spacing w:before="0" w:after="240" w:line="276" w:lineRule="auto"/>
        <w:jc w:val="both"/>
      </w:pPr>
      <w:r>
        <w:rPr>
          <w:rFonts w:ascii="Times New Roman" w:hAnsi="Times New Roman"/>
          <w:b w:val="0"/>
          <w:i w:val="0"/>
          <w:color w:val="000000"/>
          <w:sz w:val="24"/>
        </w:rPr>
        <w:t>We thank our college, Vidyalankar Institute of Technology, for providing us with excellent computing facilities and academic infrastructure that helped us complete and present this project. We would also like to thank the staff members and laboratory assistants for their guidance and administrative assistance.</w:t>
      </w:r>
    </w:p>
    <w:p>
      <w:pPr>
        <w:spacing w:before="0" w:after="240" w:line="276" w:lineRule="auto"/>
        <w:jc w:val="both"/>
      </w:pPr>
      <w:r>
        <w:rPr>
          <w:rFonts w:ascii="Times New Roman" w:hAnsi="Times New Roman"/>
          <w:b w:val="0"/>
          <w:i w:val="0"/>
          <w:color w:val="000000"/>
          <w:sz w:val="24"/>
        </w:rPr>
        <w:t>We express our deepest gratitude towards our project guide Prof. Debarati Ghoshal for her valuable mentorship, insightful suggestions, and timely feedback throughout the architectural design, dimensional modeling, and analytical implementation phases of our project.</w:t>
      </w:r>
    </w:p>
    <w:p>
      <w:pPr>
        <w:spacing w:before="0" w:after="240" w:line="276" w:lineRule="auto"/>
        <w:jc w:val="both"/>
      </w:pPr>
      <w:r>
        <w:rPr>
          <w:rFonts w:ascii="Times New Roman" w:hAnsi="Times New Roman"/>
          <w:b w:val="0"/>
          <w:i w:val="0"/>
          <w:color w:val="000000"/>
          <w:sz w:val="24"/>
        </w:rPr>
        <w:t>We would also like to thank Prof. Kanchan Dhuri for providing us with all proper facilities and academic support as the project co-coordinator. We extend our appreciation to our Head of Department, Prof. Girish Bhole, for fostering an inspiring learning environment.</w:t>
      </w:r>
    </w:p>
    <w:p>
      <w:pPr>
        <w:spacing w:before="0" w:after="700" w:line="276" w:lineRule="auto"/>
        <w:jc w:val="both"/>
      </w:pPr>
      <w:r>
        <w:rPr>
          <w:rFonts w:ascii="Times New Roman" w:hAnsi="Times New Roman"/>
          <w:b w:val="0"/>
          <w:i w:val="0"/>
          <w:color w:val="000000"/>
          <w:sz w:val="24"/>
        </w:rPr>
        <w:t>Finally, we would like to thank our fellow peers, family members, and everyone who has directly or indirectly supported us during the development and testing of this application.</w:t>
      </w:r>
    </w:p>
    <w:p>
      <w:r>
        <w:rPr>
          <w:rFonts w:ascii="Times New Roman" w:hAnsi="Times New Roman"/>
          <w:b/>
          <w:sz w:val="24"/>
        </w:rPr>
        <w:t>Ayush Kamble</w:t>
        <w:br/>
        <w:t>Shlok Shinde</w:t>
      </w:r>
    </w:p>
    <w:p>
      <w:r>
        <w:br w:type="page"/>
      </w:r>
    </w:p>
    <w:p>
      <w:pPr>
        <w:jc w:val="center"/>
      </w:pPr>
      <w:r>
        <w:rPr>
          <w:rFonts w:ascii="Times New Roman" w:hAnsi="Times New Roman"/>
          <w:sz w:val="22"/>
        </w:rPr>
        <w:t>VI</w:t>
        <w:br/>
        <w:br/>
      </w:r>
    </w:p>
    <w:p>
      <w:pPr>
        <w:spacing w:after="500"/>
        <w:jc w:val="center"/>
      </w:pPr>
      <w:r>
        <w:rPr>
          <w:rFonts w:ascii="Times New Roman" w:hAnsi="Times New Roman"/>
          <w:b/>
          <w:sz w:val="32"/>
        </w:rPr>
        <w:t>ABSTRACT</w:t>
      </w:r>
    </w:p>
    <w:p>
      <w:pPr>
        <w:spacing w:before="0" w:after="240" w:line="276" w:lineRule="auto"/>
        <w:jc w:val="both"/>
      </w:pPr>
      <w:r>
        <w:rPr>
          <w:rFonts w:ascii="Times New Roman" w:hAnsi="Times New Roman"/>
          <w:b w:val="0"/>
          <w:i w:val="0"/>
          <w:color w:val="000000"/>
          <w:sz w:val="24"/>
        </w:rPr>
        <w:t>In contemporary e-commerce and retail supply chains, localized dropshipping marketplaces represent a rapidly growing business model connecting local regional manufacturers with consumers. While operational Online Transaction Processing (OLTP) systems efficiently execute daily orders and capture invoice logs, they are fundamentally inadequate for complex analytical querying, supplier performance benchmarking, and strategic decision-making. Conventional normalized transactional databases suffer from massive query latency when executing multi-table joins across historical transaction logs.</w:t>
      </w:r>
    </w:p>
    <w:p>
      <w:pPr>
        <w:spacing w:before="0" w:after="240" w:line="276" w:lineRule="auto"/>
        <w:jc w:val="both"/>
      </w:pPr>
      <w:r>
        <w:rPr>
          <w:rFonts w:ascii="Times New Roman" w:hAnsi="Times New Roman"/>
          <w:b w:val="0"/>
          <w:i w:val="0"/>
          <w:color w:val="000000"/>
          <w:sz w:val="24"/>
        </w:rPr>
        <w:t>To overcome these challenges, this project presents 'LocalDrop', a comprehensive Data Warehouse Management (DWM) and Business Intelligence (BI) platform tailored for local dropshipping networks. The proposed system models and executes the complete data pipeline lifecycle: from operational database generation and automated data preprocessing, through an Extract-Transform-Load (ETL) pipeline, into a multidimensional Data Warehouse implementing both Star Schema and Snowflake Schema architectures.</w:t>
      </w:r>
    </w:p>
    <w:p>
      <w:pPr>
        <w:spacing w:before="0" w:after="240" w:line="276" w:lineRule="auto"/>
        <w:jc w:val="both"/>
      </w:pPr>
      <w:r>
        <w:rPr>
          <w:rFonts w:ascii="Times New Roman" w:hAnsi="Times New Roman"/>
          <w:b w:val="0"/>
          <w:i w:val="0"/>
          <w:color w:val="000000"/>
          <w:sz w:val="24"/>
        </w:rPr>
        <w:t>The operational source contains normalized relational entities spanning Customers, Suppliers, Products, Orders, and Sales. The automated ETL pipeline extracts raw operational transactions, applies data cleansing (null removal, range validation, and duplicate handling), standardizes date dimensions, and loads the conformed data into a centralized warehouse repository. Multidimensional modeling is realized via a central FACT_SALES table connected to denormalized dimension tables (DIM_CUSTOMER, DIM_SUPPLIER, DIM_PRODUCT, and DIM_DATE) in the Star Schema, and a normalized hierarchy (DIM_PRODUCT_SF to DIM_CATEGORY) in the Snowflake Schema.</w:t>
      </w:r>
    </w:p>
    <w:p>
      <w:pPr>
        <w:spacing w:before="0" w:after="240" w:line="276" w:lineRule="auto"/>
        <w:jc w:val="both"/>
      </w:pPr>
      <w:r>
        <w:rPr>
          <w:rFonts w:ascii="Times New Roman" w:hAnsi="Times New Roman"/>
          <w:b w:val="0"/>
          <w:i w:val="0"/>
          <w:color w:val="000000"/>
          <w:sz w:val="24"/>
        </w:rPr>
        <w:t>Furthermore, this project integrates advanced Business Intelligence and Data Mining components within a responsive Flask web application. Ten core analytical SQL queries compute critical operational KPIs including total revenue (₹3,88,737.0), total profit (₹1,92,637.0), average order value, supplier revenue performance, and category distributions. Three core data mining algorithms are deployed on live warehouse data: Supervised Classification via Decision Tree (100.0% accuracy) and Gaussian Naive Bayes (82.93% accuracy) for order profitability prediction; Unsupervised Customer Segmentation via K-Means Clustering (k=3) identifying high-value vs. casual buyers; and Association Rule Mining via the Apriori algorithm discovering co-purchase patterns with high confidence and lift.</w:t>
      </w:r>
    </w:p>
    <w:p>
      <w:pPr>
        <w:spacing w:before="0" w:after="240" w:line="276" w:lineRule="auto"/>
        <w:jc w:val="both"/>
      </w:pPr>
      <w:r>
        <w:rPr>
          <w:rFonts w:ascii="Times New Roman" w:hAnsi="Times New Roman"/>
          <w:b w:val="0"/>
          <w:i w:val="0"/>
          <w:color w:val="000000"/>
          <w:sz w:val="24"/>
        </w:rPr>
        <w:t>The developed LocalDrop application provides an intuitive, web-based analytical portal providing real-time data transparency and data-driven intelligence for marketplace administrators and local suppliers without reliance on third-party SaaS tools or simulated frontend placeholders.</w:t>
      </w:r>
    </w:p>
    <w:p>
      <w:r>
        <w:br w:type="page"/>
      </w:r>
    </w:p>
    <w:p>
      <w:pPr>
        <w:jc w:val="center"/>
      </w:pPr>
      <w:r>
        <w:rPr>
          <w:rFonts w:ascii="Times New Roman" w:hAnsi="Times New Roman"/>
          <w:sz w:val="22"/>
        </w:rPr>
        <w:t>VII</w:t>
        <w:br/>
        <w:br/>
      </w:r>
    </w:p>
    <w:p>
      <w:pPr>
        <w:spacing w:after="500"/>
        <w:jc w:val="center"/>
      </w:pPr>
      <w:r>
        <w:rPr>
          <w:rFonts w:ascii="Times New Roman" w:hAnsi="Times New Roman"/>
          <w:b/>
          <w:sz w:val="32"/>
        </w:rPr>
        <w:t>CONTENTS</w:t>
      </w:r>
    </w:p>
    <w:tbl>
      <w:tblPr>
        <w:tblW w:type="auto" w:w="0"/>
        <w:jc w:val="center"/>
        <w:tblLook w:firstColumn="1" w:firstRow="1" w:lastColumn="0" w:lastRow="0" w:noHBand="0" w:noVBand="1" w:val="04A0"/>
      </w:tblPr>
      <w:tblGrid>
        <w:gridCol w:w="4370"/>
        <w:gridCol w:w="4370"/>
      </w:tblGrid>
      <w:tr>
        <w:tc>
          <w:tcPr>
            <w:tcW w:type="dxa" w:w="8064"/>
          </w:tcPr>
          <w:p>
            <w:pPr>
              <w:spacing w:before="20" w:after="20"/>
            </w:pPr>
            <w:r>
              <w:rPr>
                <w:rFonts w:ascii="Times New Roman" w:hAnsi="Times New Roman"/>
                <w:b/>
                <w:sz w:val="22"/>
              </w:rPr>
              <w:t>Abstract</w:t>
            </w:r>
          </w:p>
        </w:tc>
        <w:tc>
          <w:tcPr>
            <w:tcW w:type="dxa" w:w="1440"/>
          </w:tcPr>
          <w:p>
            <w:pPr>
              <w:spacing w:before="20" w:after="20"/>
              <w:jc w:val="right"/>
            </w:pPr>
            <w:r>
              <w:rPr>
                <w:rFonts w:ascii="Times New Roman" w:hAnsi="Times New Roman"/>
                <w:b/>
                <w:sz w:val="22"/>
              </w:rPr>
              <w:t>vi</w:t>
            </w:r>
          </w:p>
        </w:tc>
      </w:tr>
      <w:tr>
        <w:tc>
          <w:tcPr>
            <w:tcW w:type="dxa" w:w="8064"/>
          </w:tcPr>
          <w:p>
            <w:pPr>
              <w:spacing w:before="20" w:after="20"/>
            </w:pPr>
            <w:r>
              <w:rPr>
                <w:rFonts w:ascii="Times New Roman" w:hAnsi="Times New Roman"/>
                <w:b/>
                <w:sz w:val="22"/>
              </w:rPr>
              <w:t>List of Figures</w:t>
            </w:r>
          </w:p>
        </w:tc>
        <w:tc>
          <w:tcPr>
            <w:tcW w:type="dxa" w:w="1440"/>
          </w:tcPr>
          <w:p>
            <w:pPr>
              <w:spacing w:before="20" w:after="20"/>
              <w:jc w:val="right"/>
            </w:pPr>
            <w:r>
              <w:rPr>
                <w:rFonts w:ascii="Times New Roman" w:hAnsi="Times New Roman"/>
                <w:b/>
                <w:sz w:val="22"/>
              </w:rPr>
              <w:t>viii</w:t>
            </w:r>
          </w:p>
        </w:tc>
      </w:tr>
      <w:tr>
        <w:tc>
          <w:tcPr>
            <w:tcW w:type="dxa" w:w="8064"/>
          </w:tcPr>
          <w:p>
            <w:pPr>
              <w:spacing w:before="20" w:after="20"/>
            </w:pPr>
            <w:r>
              <w:rPr>
                <w:rFonts w:ascii="Times New Roman" w:hAnsi="Times New Roman"/>
                <w:b/>
                <w:sz w:val="22"/>
              </w:rPr>
              <w:t>List of Tables</w:t>
            </w:r>
          </w:p>
        </w:tc>
        <w:tc>
          <w:tcPr>
            <w:tcW w:type="dxa" w:w="1440"/>
          </w:tcPr>
          <w:p>
            <w:pPr>
              <w:spacing w:before="20" w:after="20"/>
              <w:jc w:val="right"/>
            </w:pPr>
            <w:r>
              <w:rPr>
                <w:rFonts w:ascii="Times New Roman" w:hAnsi="Times New Roman"/>
                <w:b/>
                <w:sz w:val="22"/>
              </w:rPr>
              <w:t>ix</w:t>
            </w:r>
          </w:p>
        </w:tc>
      </w:tr>
      <w:tr>
        <w:tc>
          <w:tcPr>
            <w:tcW w:type="dxa" w:w="8064"/>
          </w:tcPr>
          <w:p>
            <w:pPr>
              <w:spacing w:before="20" w:after="20"/>
            </w:pPr>
            <w:r>
              <w:rPr>
                <w:rFonts w:ascii="Times New Roman" w:hAnsi="Times New Roman"/>
                <w:b/>
                <w:sz w:val="22"/>
              </w:rPr>
              <w:t>1   INTRODUCTION</w:t>
            </w:r>
          </w:p>
        </w:tc>
        <w:tc>
          <w:tcPr>
            <w:tcW w:type="dxa" w:w="1440"/>
          </w:tcPr>
          <w:p>
            <w:pPr>
              <w:spacing w:before="20" w:after="20"/>
              <w:jc w:val="right"/>
            </w:pPr>
            <w:r>
              <w:rPr>
                <w:rFonts w:ascii="Times New Roman" w:hAnsi="Times New Roman"/>
                <w:b/>
                <w:sz w:val="22"/>
              </w:rPr>
              <w:t>1</w:t>
            </w:r>
          </w:p>
        </w:tc>
      </w:tr>
      <w:tr>
        <w:tc>
          <w:tcPr>
            <w:tcW w:type="dxa" w:w="8064"/>
          </w:tcPr>
          <w:p>
            <w:pPr>
              <w:spacing w:before="20" w:after="20"/>
            </w:pPr>
            <w:r>
              <w:rPr>
                <w:rFonts w:ascii="Times New Roman" w:hAnsi="Times New Roman"/>
                <w:b w:val="0"/>
                <w:sz w:val="22"/>
              </w:rPr>
              <w:t xml:space="preserve">    1.1 Problem Statement</w:t>
            </w:r>
          </w:p>
        </w:tc>
        <w:tc>
          <w:tcPr>
            <w:tcW w:type="dxa" w:w="1440"/>
          </w:tcPr>
          <w:p>
            <w:pPr>
              <w:spacing w:before="20" w:after="20"/>
              <w:jc w:val="right"/>
            </w:pPr>
            <w:r>
              <w:rPr>
                <w:rFonts w:ascii="Times New Roman" w:hAnsi="Times New Roman"/>
                <w:b w:val="0"/>
                <w:sz w:val="22"/>
              </w:rPr>
              <w:t>2</w:t>
            </w:r>
          </w:p>
        </w:tc>
      </w:tr>
      <w:tr>
        <w:tc>
          <w:tcPr>
            <w:tcW w:type="dxa" w:w="8064"/>
          </w:tcPr>
          <w:p>
            <w:pPr>
              <w:spacing w:before="20" w:after="20"/>
            </w:pPr>
            <w:r>
              <w:rPr>
                <w:rFonts w:ascii="Times New Roman" w:hAnsi="Times New Roman"/>
                <w:b w:val="0"/>
                <w:sz w:val="22"/>
              </w:rPr>
              <w:t xml:space="preserve">    1.2 Scope</w:t>
            </w:r>
          </w:p>
        </w:tc>
        <w:tc>
          <w:tcPr>
            <w:tcW w:type="dxa" w:w="1440"/>
          </w:tcPr>
          <w:p>
            <w:pPr>
              <w:spacing w:before="20" w:after="20"/>
              <w:jc w:val="right"/>
            </w:pPr>
            <w:r>
              <w:rPr>
                <w:rFonts w:ascii="Times New Roman" w:hAnsi="Times New Roman"/>
                <w:b w:val="0"/>
                <w:sz w:val="22"/>
              </w:rPr>
              <w:t>3</w:t>
            </w:r>
          </w:p>
        </w:tc>
      </w:tr>
      <w:tr>
        <w:tc>
          <w:tcPr>
            <w:tcW w:type="dxa" w:w="8064"/>
          </w:tcPr>
          <w:p>
            <w:pPr>
              <w:spacing w:before="20" w:after="20"/>
            </w:pPr>
            <w:r>
              <w:rPr>
                <w:rFonts w:ascii="Times New Roman" w:hAnsi="Times New Roman"/>
                <w:b w:val="0"/>
                <w:sz w:val="22"/>
              </w:rPr>
              <w:t xml:space="preserve">    1.3 Motivation</w:t>
            </w:r>
          </w:p>
        </w:tc>
        <w:tc>
          <w:tcPr>
            <w:tcW w:type="dxa" w:w="1440"/>
          </w:tcPr>
          <w:p>
            <w:pPr>
              <w:spacing w:before="20" w:after="20"/>
              <w:jc w:val="right"/>
            </w:pPr>
            <w:r>
              <w:rPr>
                <w:rFonts w:ascii="Times New Roman" w:hAnsi="Times New Roman"/>
                <w:b w:val="0"/>
                <w:sz w:val="22"/>
              </w:rPr>
              <w:t>3</w:t>
            </w:r>
          </w:p>
        </w:tc>
      </w:tr>
      <w:tr>
        <w:tc>
          <w:tcPr>
            <w:tcW w:type="dxa" w:w="8064"/>
          </w:tcPr>
          <w:p>
            <w:pPr>
              <w:spacing w:before="20" w:after="20"/>
            </w:pPr>
            <w:r>
              <w:rPr>
                <w:rFonts w:ascii="Times New Roman" w:hAnsi="Times New Roman"/>
                <w:b/>
                <w:sz w:val="22"/>
              </w:rPr>
              <w:t>2   LITERATURE SURVEY</w:t>
            </w:r>
          </w:p>
        </w:tc>
        <w:tc>
          <w:tcPr>
            <w:tcW w:type="dxa" w:w="1440"/>
          </w:tcPr>
          <w:p>
            <w:pPr>
              <w:spacing w:before="20" w:after="20"/>
              <w:jc w:val="right"/>
            </w:pPr>
            <w:r>
              <w:rPr>
                <w:rFonts w:ascii="Times New Roman" w:hAnsi="Times New Roman"/>
                <w:b/>
                <w:sz w:val="22"/>
              </w:rPr>
              <w:t>5</w:t>
            </w:r>
          </w:p>
        </w:tc>
      </w:tr>
      <w:tr>
        <w:tc>
          <w:tcPr>
            <w:tcW w:type="dxa" w:w="8064"/>
          </w:tcPr>
          <w:p>
            <w:pPr>
              <w:spacing w:before="20" w:after="20"/>
            </w:pPr>
            <w:r>
              <w:rPr>
                <w:rFonts w:ascii="Times New Roman" w:hAnsi="Times New Roman"/>
                <w:b/>
                <w:sz w:val="22"/>
              </w:rPr>
              <w:t>3   SYSTEM DESIGN</w:t>
            </w:r>
          </w:p>
        </w:tc>
        <w:tc>
          <w:tcPr>
            <w:tcW w:type="dxa" w:w="1440"/>
          </w:tcPr>
          <w:p>
            <w:pPr>
              <w:spacing w:before="20" w:after="20"/>
              <w:jc w:val="right"/>
            </w:pPr>
            <w:r>
              <w:rPr>
                <w:rFonts w:ascii="Times New Roman" w:hAnsi="Times New Roman"/>
                <w:b/>
                <w:sz w:val="22"/>
              </w:rPr>
              <w:t>8</w:t>
            </w:r>
          </w:p>
        </w:tc>
      </w:tr>
      <w:tr>
        <w:tc>
          <w:tcPr>
            <w:tcW w:type="dxa" w:w="8064"/>
          </w:tcPr>
          <w:p>
            <w:pPr>
              <w:spacing w:before="20" w:after="20"/>
            </w:pPr>
            <w:r>
              <w:rPr>
                <w:rFonts w:ascii="Times New Roman" w:hAnsi="Times New Roman"/>
                <w:b w:val="0"/>
                <w:sz w:val="22"/>
              </w:rPr>
              <w:t xml:space="preserve">    3.1 Proposed System Algorithm</w:t>
            </w:r>
          </w:p>
        </w:tc>
        <w:tc>
          <w:tcPr>
            <w:tcW w:type="dxa" w:w="1440"/>
          </w:tcPr>
          <w:p>
            <w:pPr>
              <w:spacing w:before="20" w:after="20"/>
              <w:jc w:val="right"/>
            </w:pPr>
            <w:r>
              <w:rPr>
                <w:rFonts w:ascii="Times New Roman" w:hAnsi="Times New Roman"/>
                <w:b w:val="0"/>
                <w:sz w:val="22"/>
              </w:rPr>
              <w:t>9</w:t>
            </w:r>
          </w:p>
        </w:tc>
      </w:tr>
      <w:tr>
        <w:tc>
          <w:tcPr>
            <w:tcW w:type="dxa" w:w="8064"/>
          </w:tcPr>
          <w:p>
            <w:pPr>
              <w:spacing w:before="20" w:after="20"/>
            </w:pPr>
            <w:r>
              <w:rPr>
                <w:rFonts w:ascii="Times New Roman" w:hAnsi="Times New Roman"/>
                <w:b w:val="0"/>
                <w:sz w:val="22"/>
              </w:rPr>
              <w:t xml:space="preserve">    3.2 Methodology</w:t>
            </w:r>
          </w:p>
        </w:tc>
        <w:tc>
          <w:tcPr>
            <w:tcW w:type="dxa" w:w="1440"/>
          </w:tcPr>
          <w:p>
            <w:pPr>
              <w:spacing w:before="20" w:after="20"/>
              <w:jc w:val="right"/>
            </w:pPr>
            <w:r>
              <w:rPr>
                <w:rFonts w:ascii="Times New Roman" w:hAnsi="Times New Roman"/>
                <w:b w:val="0"/>
                <w:sz w:val="22"/>
              </w:rPr>
              <w:t>10</w:t>
            </w:r>
          </w:p>
        </w:tc>
      </w:tr>
      <w:tr>
        <w:tc>
          <w:tcPr>
            <w:tcW w:type="dxa" w:w="8064"/>
          </w:tcPr>
          <w:p>
            <w:pPr>
              <w:spacing w:before="20" w:after="20"/>
            </w:pPr>
            <w:r>
              <w:rPr>
                <w:rFonts w:ascii="Times New Roman" w:hAnsi="Times New Roman"/>
                <w:b w:val="0"/>
                <w:sz w:val="22"/>
              </w:rPr>
              <w:t xml:space="preserve">    3.3 Analysis</w:t>
            </w:r>
          </w:p>
        </w:tc>
        <w:tc>
          <w:tcPr>
            <w:tcW w:type="dxa" w:w="1440"/>
          </w:tcPr>
          <w:p>
            <w:pPr>
              <w:spacing w:before="20" w:after="20"/>
              <w:jc w:val="right"/>
            </w:pPr>
            <w:r>
              <w:rPr>
                <w:rFonts w:ascii="Times New Roman" w:hAnsi="Times New Roman"/>
                <w:b w:val="0"/>
                <w:sz w:val="22"/>
              </w:rPr>
              <w:t>10</w:t>
            </w:r>
          </w:p>
        </w:tc>
      </w:tr>
      <w:tr>
        <w:tc>
          <w:tcPr>
            <w:tcW w:type="dxa" w:w="8064"/>
          </w:tcPr>
          <w:p>
            <w:pPr>
              <w:spacing w:before="20" w:after="20"/>
            </w:pPr>
            <w:r>
              <w:rPr>
                <w:rFonts w:ascii="Times New Roman" w:hAnsi="Times New Roman"/>
                <w:b w:val="0"/>
                <w:sz w:val="22"/>
              </w:rPr>
              <w:t xml:space="preserve">        3.3.1 Process Model</w:t>
            </w:r>
          </w:p>
        </w:tc>
        <w:tc>
          <w:tcPr>
            <w:tcW w:type="dxa" w:w="1440"/>
          </w:tcPr>
          <w:p>
            <w:pPr>
              <w:spacing w:before="20" w:after="20"/>
              <w:jc w:val="right"/>
            </w:pPr>
            <w:r>
              <w:rPr>
                <w:rFonts w:ascii="Times New Roman" w:hAnsi="Times New Roman"/>
                <w:b w:val="0"/>
                <w:sz w:val="22"/>
              </w:rPr>
              <w:t>11</w:t>
            </w:r>
          </w:p>
        </w:tc>
      </w:tr>
      <w:tr>
        <w:tc>
          <w:tcPr>
            <w:tcW w:type="dxa" w:w="8064"/>
          </w:tcPr>
          <w:p>
            <w:pPr>
              <w:spacing w:before="20" w:after="20"/>
            </w:pPr>
            <w:r>
              <w:rPr>
                <w:rFonts w:ascii="Times New Roman" w:hAnsi="Times New Roman"/>
                <w:b w:val="0"/>
                <w:sz w:val="22"/>
              </w:rPr>
              <w:t xml:space="preserve">        3.3.2 Feasibility Analysis</w:t>
            </w:r>
          </w:p>
        </w:tc>
        <w:tc>
          <w:tcPr>
            <w:tcW w:type="dxa" w:w="1440"/>
          </w:tcPr>
          <w:p>
            <w:pPr>
              <w:spacing w:before="20" w:after="20"/>
              <w:jc w:val="right"/>
            </w:pPr>
            <w:r>
              <w:rPr>
                <w:rFonts w:ascii="Times New Roman" w:hAnsi="Times New Roman"/>
                <w:b w:val="0"/>
                <w:sz w:val="22"/>
              </w:rPr>
              <w:t>12</w:t>
            </w:r>
          </w:p>
        </w:tc>
      </w:tr>
      <w:tr>
        <w:tc>
          <w:tcPr>
            <w:tcW w:type="dxa" w:w="8064"/>
          </w:tcPr>
          <w:p>
            <w:pPr>
              <w:spacing w:before="20" w:after="20"/>
            </w:pPr>
            <w:r>
              <w:rPr>
                <w:rFonts w:ascii="Times New Roman" w:hAnsi="Times New Roman"/>
                <w:b w:val="0"/>
                <w:sz w:val="22"/>
              </w:rPr>
              <w:t xml:space="preserve">        3.3.3 Timeline Chart</w:t>
            </w:r>
          </w:p>
        </w:tc>
        <w:tc>
          <w:tcPr>
            <w:tcW w:type="dxa" w:w="1440"/>
          </w:tcPr>
          <w:p>
            <w:pPr>
              <w:spacing w:before="20" w:after="20"/>
              <w:jc w:val="right"/>
            </w:pPr>
            <w:r>
              <w:rPr>
                <w:rFonts w:ascii="Times New Roman" w:hAnsi="Times New Roman"/>
                <w:b w:val="0"/>
                <w:sz w:val="22"/>
              </w:rPr>
              <w:t>14</w:t>
            </w:r>
          </w:p>
        </w:tc>
      </w:tr>
      <w:tr>
        <w:tc>
          <w:tcPr>
            <w:tcW w:type="dxa" w:w="8064"/>
          </w:tcPr>
          <w:p>
            <w:pPr>
              <w:spacing w:before="20" w:after="20"/>
            </w:pPr>
            <w:r>
              <w:rPr>
                <w:rFonts w:ascii="Times New Roman" w:hAnsi="Times New Roman"/>
                <w:b w:val="0"/>
                <w:sz w:val="22"/>
              </w:rPr>
              <w:t xml:space="preserve">        3.3.4 Design and UML diagram</w:t>
            </w:r>
          </w:p>
        </w:tc>
        <w:tc>
          <w:tcPr>
            <w:tcW w:type="dxa" w:w="1440"/>
          </w:tcPr>
          <w:p>
            <w:pPr>
              <w:spacing w:before="20" w:after="20"/>
              <w:jc w:val="right"/>
            </w:pPr>
            <w:r>
              <w:rPr>
                <w:rFonts w:ascii="Times New Roman" w:hAnsi="Times New Roman"/>
                <w:b w:val="0"/>
                <w:sz w:val="22"/>
              </w:rPr>
              <w:t>15</w:t>
            </w:r>
          </w:p>
        </w:tc>
      </w:tr>
      <w:tr>
        <w:tc>
          <w:tcPr>
            <w:tcW w:type="dxa" w:w="8064"/>
          </w:tcPr>
          <w:p>
            <w:pPr>
              <w:spacing w:before="20" w:after="20"/>
            </w:pPr>
            <w:r>
              <w:rPr>
                <w:rFonts w:ascii="Times New Roman" w:hAnsi="Times New Roman"/>
                <w:b/>
                <w:sz w:val="22"/>
              </w:rPr>
              <w:t>4   SYSTEM IMPLEMENTATION</w:t>
            </w:r>
          </w:p>
        </w:tc>
        <w:tc>
          <w:tcPr>
            <w:tcW w:type="dxa" w:w="1440"/>
          </w:tcPr>
          <w:p>
            <w:pPr>
              <w:spacing w:before="20" w:after="20"/>
              <w:jc w:val="right"/>
            </w:pPr>
            <w:r>
              <w:rPr>
                <w:rFonts w:ascii="Times New Roman" w:hAnsi="Times New Roman"/>
                <w:b/>
                <w:sz w:val="22"/>
              </w:rPr>
              <w:t>17</w:t>
            </w:r>
          </w:p>
        </w:tc>
      </w:tr>
      <w:tr>
        <w:tc>
          <w:tcPr>
            <w:tcW w:type="dxa" w:w="8064"/>
          </w:tcPr>
          <w:p>
            <w:pPr>
              <w:spacing w:before="20" w:after="20"/>
            </w:pPr>
            <w:r>
              <w:rPr>
                <w:rFonts w:ascii="Times New Roman" w:hAnsi="Times New Roman"/>
                <w:b w:val="0"/>
                <w:sz w:val="22"/>
              </w:rPr>
              <w:t xml:space="preserve">    4.1 Making of Back End</w:t>
            </w:r>
          </w:p>
        </w:tc>
        <w:tc>
          <w:tcPr>
            <w:tcW w:type="dxa" w:w="1440"/>
          </w:tcPr>
          <w:p>
            <w:pPr>
              <w:spacing w:before="20" w:after="20"/>
              <w:jc w:val="right"/>
            </w:pPr>
            <w:r>
              <w:rPr>
                <w:rFonts w:ascii="Times New Roman" w:hAnsi="Times New Roman"/>
                <w:b w:val="0"/>
                <w:sz w:val="22"/>
              </w:rPr>
              <w:t>18</w:t>
            </w:r>
          </w:p>
        </w:tc>
      </w:tr>
      <w:tr>
        <w:tc>
          <w:tcPr>
            <w:tcW w:type="dxa" w:w="8064"/>
          </w:tcPr>
          <w:p>
            <w:pPr>
              <w:spacing w:before="20" w:after="20"/>
            </w:pPr>
            <w:r>
              <w:rPr>
                <w:rFonts w:ascii="Times New Roman" w:hAnsi="Times New Roman"/>
                <w:b w:val="0"/>
                <w:sz w:val="22"/>
              </w:rPr>
              <w:t xml:space="preserve">        4.1.1 Operational Database</w:t>
            </w:r>
          </w:p>
        </w:tc>
        <w:tc>
          <w:tcPr>
            <w:tcW w:type="dxa" w:w="1440"/>
          </w:tcPr>
          <w:p>
            <w:pPr>
              <w:spacing w:before="20" w:after="20"/>
              <w:jc w:val="right"/>
            </w:pPr>
            <w:r>
              <w:rPr>
                <w:rFonts w:ascii="Times New Roman" w:hAnsi="Times New Roman"/>
                <w:b w:val="0"/>
                <w:sz w:val="22"/>
              </w:rPr>
              <w:t>18</w:t>
            </w:r>
          </w:p>
        </w:tc>
      </w:tr>
      <w:tr>
        <w:tc>
          <w:tcPr>
            <w:tcW w:type="dxa" w:w="8064"/>
          </w:tcPr>
          <w:p>
            <w:pPr>
              <w:spacing w:before="20" w:after="20"/>
            </w:pPr>
            <w:r>
              <w:rPr>
                <w:rFonts w:ascii="Times New Roman" w:hAnsi="Times New Roman"/>
                <w:b w:val="0"/>
                <w:sz w:val="22"/>
              </w:rPr>
              <w:t xml:space="preserve">        4.1.2 Data Preprocessing</w:t>
            </w:r>
          </w:p>
        </w:tc>
        <w:tc>
          <w:tcPr>
            <w:tcW w:type="dxa" w:w="1440"/>
          </w:tcPr>
          <w:p>
            <w:pPr>
              <w:spacing w:before="20" w:after="20"/>
              <w:jc w:val="right"/>
            </w:pPr>
            <w:r>
              <w:rPr>
                <w:rFonts w:ascii="Times New Roman" w:hAnsi="Times New Roman"/>
                <w:b w:val="0"/>
                <w:sz w:val="22"/>
              </w:rPr>
              <w:t>19</w:t>
            </w:r>
          </w:p>
        </w:tc>
      </w:tr>
      <w:tr>
        <w:tc>
          <w:tcPr>
            <w:tcW w:type="dxa" w:w="8064"/>
          </w:tcPr>
          <w:p>
            <w:pPr>
              <w:spacing w:before="20" w:after="20"/>
            </w:pPr>
            <w:r>
              <w:rPr>
                <w:rFonts w:ascii="Times New Roman" w:hAnsi="Times New Roman"/>
                <w:b w:val="0"/>
                <w:sz w:val="22"/>
              </w:rPr>
              <w:t xml:space="preserve">        4.1.3 ETL Implementation</w:t>
            </w:r>
          </w:p>
        </w:tc>
        <w:tc>
          <w:tcPr>
            <w:tcW w:type="dxa" w:w="1440"/>
          </w:tcPr>
          <w:p>
            <w:pPr>
              <w:spacing w:before="20" w:after="20"/>
              <w:jc w:val="right"/>
            </w:pPr>
            <w:r>
              <w:rPr>
                <w:rFonts w:ascii="Times New Roman" w:hAnsi="Times New Roman"/>
                <w:b w:val="0"/>
                <w:sz w:val="22"/>
              </w:rPr>
              <w:t>20</w:t>
            </w:r>
          </w:p>
        </w:tc>
      </w:tr>
      <w:tr>
        <w:tc>
          <w:tcPr>
            <w:tcW w:type="dxa" w:w="8064"/>
          </w:tcPr>
          <w:p>
            <w:pPr>
              <w:spacing w:before="20" w:after="20"/>
            </w:pPr>
            <w:r>
              <w:rPr>
                <w:rFonts w:ascii="Times New Roman" w:hAnsi="Times New Roman"/>
                <w:b w:val="0"/>
                <w:sz w:val="22"/>
              </w:rPr>
              <w:t xml:space="preserve">        4.1.4 Data Warehouse Implementation</w:t>
            </w:r>
          </w:p>
        </w:tc>
        <w:tc>
          <w:tcPr>
            <w:tcW w:type="dxa" w:w="1440"/>
          </w:tcPr>
          <w:p>
            <w:pPr>
              <w:spacing w:before="20" w:after="20"/>
              <w:jc w:val="right"/>
            </w:pPr>
            <w:r>
              <w:rPr>
                <w:rFonts w:ascii="Times New Roman" w:hAnsi="Times New Roman"/>
                <w:b w:val="0"/>
                <w:sz w:val="22"/>
              </w:rPr>
              <w:t>21</w:t>
            </w:r>
          </w:p>
        </w:tc>
      </w:tr>
      <w:tr>
        <w:tc>
          <w:tcPr>
            <w:tcW w:type="dxa" w:w="8064"/>
          </w:tcPr>
          <w:p>
            <w:pPr>
              <w:spacing w:before="20" w:after="20"/>
            </w:pPr>
            <w:r>
              <w:rPr>
                <w:rFonts w:ascii="Times New Roman" w:hAnsi="Times New Roman"/>
                <w:b w:val="0"/>
                <w:sz w:val="22"/>
              </w:rPr>
              <w:t xml:space="preserve">        4.1.5 Data Mining Implementation</w:t>
            </w:r>
          </w:p>
        </w:tc>
        <w:tc>
          <w:tcPr>
            <w:tcW w:type="dxa" w:w="1440"/>
          </w:tcPr>
          <w:p>
            <w:pPr>
              <w:spacing w:before="20" w:after="20"/>
              <w:jc w:val="right"/>
            </w:pPr>
            <w:r>
              <w:rPr>
                <w:rFonts w:ascii="Times New Roman" w:hAnsi="Times New Roman"/>
                <w:b w:val="0"/>
                <w:sz w:val="22"/>
              </w:rPr>
              <w:t>22</w:t>
            </w:r>
          </w:p>
        </w:tc>
      </w:tr>
      <w:tr>
        <w:tc>
          <w:tcPr>
            <w:tcW w:type="dxa" w:w="8064"/>
          </w:tcPr>
          <w:p>
            <w:pPr>
              <w:spacing w:before="20" w:after="20"/>
            </w:pPr>
            <w:r>
              <w:rPr>
                <w:rFonts w:ascii="Times New Roman" w:hAnsi="Times New Roman"/>
                <w:b w:val="0"/>
                <w:sz w:val="22"/>
              </w:rPr>
              <w:t xml:space="preserve">    4.2 Making of GUI</w:t>
            </w:r>
          </w:p>
        </w:tc>
        <w:tc>
          <w:tcPr>
            <w:tcW w:type="dxa" w:w="1440"/>
          </w:tcPr>
          <w:p>
            <w:pPr>
              <w:spacing w:before="20" w:after="20"/>
              <w:jc w:val="right"/>
            </w:pPr>
            <w:r>
              <w:rPr>
                <w:rFonts w:ascii="Times New Roman" w:hAnsi="Times New Roman"/>
                <w:b w:val="0"/>
                <w:sz w:val="22"/>
              </w:rPr>
              <w:t>23</w:t>
            </w:r>
          </w:p>
        </w:tc>
      </w:tr>
      <w:tr>
        <w:tc>
          <w:tcPr>
            <w:tcW w:type="dxa" w:w="8064"/>
          </w:tcPr>
          <w:p>
            <w:pPr>
              <w:spacing w:before="20" w:after="20"/>
            </w:pPr>
            <w:r>
              <w:rPr>
                <w:rFonts w:ascii="Times New Roman" w:hAnsi="Times New Roman"/>
                <w:b w:val="0"/>
                <w:sz w:val="22"/>
              </w:rPr>
              <w:t xml:space="preserve">        4.2.1 Dashboard</w:t>
            </w:r>
          </w:p>
        </w:tc>
        <w:tc>
          <w:tcPr>
            <w:tcW w:type="dxa" w:w="1440"/>
          </w:tcPr>
          <w:p>
            <w:pPr>
              <w:spacing w:before="20" w:after="20"/>
              <w:jc w:val="right"/>
            </w:pPr>
            <w:r>
              <w:rPr>
                <w:rFonts w:ascii="Times New Roman" w:hAnsi="Times New Roman"/>
                <w:b w:val="0"/>
                <w:sz w:val="22"/>
              </w:rPr>
              <w:t>23</w:t>
            </w:r>
          </w:p>
        </w:tc>
      </w:tr>
      <w:tr>
        <w:tc>
          <w:tcPr>
            <w:tcW w:type="dxa" w:w="8064"/>
          </w:tcPr>
          <w:p>
            <w:pPr>
              <w:spacing w:before="20" w:after="20"/>
            </w:pPr>
            <w:r>
              <w:rPr>
                <w:rFonts w:ascii="Times New Roman" w:hAnsi="Times New Roman"/>
                <w:b w:val="0"/>
                <w:sz w:val="22"/>
              </w:rPr>
              <w:t xml:space="preserve">        4.2.2 Orders Page</w:t>
            </w:r>
          </w:p>
        </w:tc>
        <w:tc>
          <w:tcPr>
            <w:tcW w:type="dxa" w:w="1440"/>
          </w:tcPr>
          <w:p>
            <w:pPr>
              <w:spacing w:before="20" w:after="20"/>
              <w:jc w:val="right"/>
            </w:pPr>
            <w:r>
              <w:rPr>
                <w:rFonts w:ascii="Times New Roman" w:hAnsi="Times New Roman"/>
                <w:b w:val="0"/>
                <w:sz w:val="22"/>
              </w:rPr>
              <w:t>24</w:t>
            </w:r>
          </w:p>
        </w:tc>
      </w:tr>
      <w:tr>
        <w:tc>
          <w:tcPr>
            <w:tcW w:type="dxa" w:w="8064"/>
          </w:tcPr>
          <w:p>
            <w:pPr>
              <w:spacing w:before="20" w:after="20"/>
            </w:pPr>
            <w:r>
              <w:rPr>
                <w:rFonts w:ascii="Times New Roman" w:hAnsi="Times New Roman"/>
                <w:b w:val="0"/>
                <w:sz w:val="22"/>
              </w:rPr>
              <w:t xml:space="preserve">        4.2.3 Products Page</w:t>
            </w:r>
          </w:p>
        </w:tc>
        <w:tc>
          <w:tcPr>
            <w:tcW w:type="dxa" w:w="1440"/>
          </w:tcPr>
          <w:p>
            <w:pPr>
              <w:spacing w:before="20" w:after="20"/>
              <w:jc w:val="right"/>
            </w:pPr>
            <w:r>
              <w:rPr>
                <w:rFonts w:ascii="Times New Roman" w:hAnsi="Times New Roman"/>
                <w:b w:val="0"/>
                <w:sz w:val="22"/>
              </w:rPr>
              <w:t>24</w:t>
            </w:r>
          </w:p>
        </w:tc>
      </w:tr>
      <w:tr>
        <w:tc>
          <w:tcPr>
            <w:tcW w:type="dxa" w:w="8064"/>
          </w:tcPr>
          <w:p>
            <w:pPr>
              <w:spacing w:before="20" w:after="20"/>
            </w:pPr>
            <w:r>
              <w:rPr>
                <w:rFonts w:ascii="Times New Roman" w:hAnsi="Times New Roman"/>
                <w:b w:val="0"/>
                <w:sz w:val="22"/>
              </w:rPr>
              <w:t xml:space="preserve">        4.2.4 Customers Page</w:t>
            </w:r>
          </w:p>
        </w:tc>
        <w:tc>
          <w:tcPr>
            <w:tcW w:type="dxa" w:w="1440"/>
          </w:tcPr>
          <w:p>
            <w:pPr>
              <w:spacing w:before="20" w:after="20"/>
              <w:jc w:val="right"/>
            </w:pPr>
            <w:r>
              <w:rPr>
                <w:rFonts w:ascii="Times New Roman" w:hAnsi="Times New Roman"/>
                <w:b w:val="0"/>
                <w:sz w:val="22"/>
              </w:rPr>
              <w:t>25</w:t>
            </w:r>
          </w:p>
        </w:tc>
      </w:tr>
      <w:tr>
        <w:tc>
          <w:tcPr>
            <w:tcW w:type="dxa" w:w="8064"/>
          </w:tcPr>
          <w:p>
            <w:pPr>
              <w:spacing w:before="20" w:after="20"/>
            </w:pPr>
            <w:r>
              <w:rPr>
                <w:rFonts w:ascii="Times New Roman" w:hAnsi="Times New Roman"/>
                <w:b w:val="0"/>
                <w:sz w:val="22"/>
              </w:rPr>
              <w:t xml:space="preserve">        4.2.5 Suppliers Page</w:t>
            </w:r>
          </w:p>
        </w:tc>
        <w:tc>
          <w:tcPr>
            <w:tcW w:type="dxa" w:w="1440"/>
          </w:tcPr>
          <w:p>
            <w:pPr>
              <w:spacing w:before="20" w:after="20"/>
              <w:jc w:val="right"/>
            </w:pPr>
            <w:r>
              <w:rPr>
                <w:rFonts w:ascii="Times New Roman" w:hAnsi="Times New Roman"/>
                <w:b w:val="0"/>
                <w:sz w:val="22"/>
              </w:rPr>
              <w:t>25</w:t>
            </w:r>
          </w:p>
        </w:tc>
      </w:tr>
      <w:tr>
        <w:tc>
          <w:tcPr>
            <w:tcW w:type="dxa" w:w="8064"/>
          </w:tcPr>
          <w:p>
            <w:pPr>
              <w:spacing w:before="20" w:after="20"/>
            </w:pPr>
            <w:r>
              <w:rPr>
                <w:rFonts w:ascii="Times New Roman" w:hAnsi="Times New Roman"/>
                <w:b w:val="0"/>
                <w:sz w:val="22"/>
              </w:rPr>
              <w:t xml:space="preserve">        4.2.6 Analytics Page</w:t>
            </w:r>
          </w:p>
        </w:tc>
        <w:tc>
          <w:tcPr>
            <w:tcW w:type="dxa" w:w="1440"/>
          </w:tcPr>
          <w:p>
            <w:pPr>
              <w:spacing w:before="20" w:after="20"/>
              <w:jc w:val="right"/>
            </w:pPr>
            <w:r>
              <w:rPr>
                <w:rFonts w:ascii="Times New Roman" w:hAnsi="Times New Roman"/>
                <w:b w:val="0"/>
                <w:sz w:val="22"/>
              </w:rPr>
              <w:t>26</w:t>
            </w:r>
          </w:p>
        </w:tc>
      </w:tr>
      <w:tr>
        <w:tc>
          <w:tcPr>
            <w:tcW w:type="dxa" w:w="8064"/>
          </w:tcPr>
          <w:p>
            <w:pPr>
              <w:spacing w:before="20" w:after="20"/>
            </w:pPr>
            <w:r>
              <w:rPr>
                <w:rFonts w:ascii="Times New Roman" w:hAnsi="Times New Roman"/>
                <w:b w:val="0"/>
                <w:sz w:val="22"/>
              </w:rPr>
              <w:t xml:space="preserve">        4.2.7 Data Preprocessing Page</w:t>
            </w:r>
          </w:p>
        </w:tc>
        <w:tc>
          <w:tcPr>
            <w:tcW w:type="dxa" w:w="1440"/>
          </w:tcPr>
          <w:p>
            <w:pPr>
              <w:spacing w:before="20" w:after="20"/>
              <w:jc w:val="right"/>
            </w:pPr>
            <w:r>
              <w:rPr>
                <w:rFonts w:ascii="Times New Roman" w:hAnsi="Times New Roman"/>
                <w:b w:val="0"/>
                <w:sz w:val="22"/>
              </w:rPr>
              <w:t>26</w:t>
            </w:r>
          </w:p>
        </w:tc>
      </w:tr>
      <w:tr>
        <w:tc>
          <w:tcPr>
            <w:tcW w:type="dxa" w:w="8064"/>
          </w:tcPr>
          <w:p>
            <w:pPr>
              <w:spacing w:before="20" w:after="20"/>
            </w:pPr>
            <w:r>
              <w:rPr>
                <w:rFonts w:ascii="Times New Roman" w:hAnsi="Times New Roman"/>
                <w:b w:val="0"/>
                <w:sz w:val="22"/>
              </w:rPr>
              <w:t xml:space="preserve">        4.2.8 Data Warehouse Page</w:t>
            </w:r>
          </w:p>
        </w:tc>
        <w:tc>
          <w:tcPr>
            <w:tcW w:type="dxa" w:w="1440"/>
          </w:tcPr>
          <w:p>
            <w:pPr>
              <w:spacing w:before="20" w:after="20"/>
              <w:jc w:val="right"/>
            </w:pPr>
            <w:r>
              <w:rPr>
                <w:rFonts w:ascii="Times New Roman" w:hAnsi="Times New Roman"/>
                <w:b w:val="0"/>
                <w:sz w:val="22"/>
              </w:rPr>
              <w:t>27</w:t>
            </w:r>
          </w:p>
        </w:tc>
      </w:tr>
      <w:tr>
        <w:tc>
          <w:tcPr>
            <w:tcW w:type="dxa" w:w="8064"/>
          </w:tcPr>
          <w:p>
            <w:pPr>
              <w:spacing w:before="20" w:after="20"/>
            </w:pPr>
            <w:r>
              <w:rPr>
                <w:rFonts w:ascii="Times New Roman" w:hAnsi="Times New Roman"/>
                <w:b w:val="0"/>
                <w:sz w:val="22"/>
              </w:rPr>
              <w:t xml:space="preserve">        4.2.9 Data Mining Page</w:t>
            </w:r>
          </w:p>
        </w:tc>
        <w:tc>
          <w:tcPr>
            <w:tcW w:type="dxa" w:w="1440"/>
          </w:tcPr>
          <w:p>
            <w:pPr>
              <w:spacing w:before="20" w:after="20"/>
              <w:jc w:val="right"/>
            </w:pPr>
            <w:r>
              <w:rPr>
                <w:rFonts w:ascii="Times New Roman" w:hAnsi="Times New Roman"/>
                <w:b w:val="0"/>
                <w:sz w:val="22"/>
              </w:rPr>
              <w:t>27</w:t>
            </w:r>
          </w:p>
        </w:tc>
      </w:tr>
      <w:tr>
        <w:tc>
          <w:tcPr>
            <w:tcW w:type="dxa" w:w="8064"/>
          </w:tcPr>
          <w:p>
            <w:pPr>
              <w:spacing w:before="20" w:after="20"/>
            </w:pPr>
            <w:r>
              <w:rPr>
                <w:rFonts w:ascii="Times New Roman" w:hAnsi="Times New Roman"/>
                <w:b w:val="0"/>
                <w:sz w:val="22"/>
              </w:rPr>
              <w:t xml:space="preserve">    4.3 System Code</w:t>
            </w:r>
          </w:p>
        </w:tc>
        <w:tc>
          <w:tcPr>
            <w:tcW w:type="dxa" w:w="1440"/>
          </w:tcPr>
          <w:p>
            <w:pPr>
              <w:spacing w:before="20" w:after="20"/>
              <w:jc w:val="right"/>
            </w:pPr>
            <w:r>
              <w:rPr>
                <w:rFonts w:ascii="Times New Roman" w:hAnsi="Times New Roman"/>
                <w:b w:val="0"/>
                <w:sz w:val="22"/>
              </w:rPr>
              <w:t>28</w:t>
            </w:r>
          </w:p>
        </w:tc>
      </w:tr>
      <w:tr>
        <w:tc>
          <w:tcPr>
            <w:tcW w:type="dxa" w:w="8064"/>
          </w:tcPr>
          <w:p>
            <w:pPr>
              <w:spacing w:before="20" w:after="20"/>
            </w:pPr>
            <w:r>
              <w:rPr>
                <w:rFonts w:ascii="Times New Roman" w:hAnsi="Times New Roman"/>
                <w:b/>
                <w:sz w:val="22"/>
              </w:rPr>
              <w:t>5   RESULTS AND DISCUSSIONS</w:t>
            </w:r>
          </w:p>
        </w:tc>
        <w:tc>
          <w:tcPr>
            <w:tcW w:type="dxa" w:w="1440"/>
          </w:tcPr>
          <w:p>
            <w:pPr>
              <w:spacing w:before="20" w:after="20"/>
              <w:jc w:val="right"/>
            </w:pPr>
            <w:r>
              <w:rPr>
                <w:rFonts w:ascii="Times New Roman" w:hAnsi="Times New Roman"/>
                <w:b/>
                <w:sz w:val="22"/>
              </w:rPr>
              <w:t>34</w:t>
            </w:r>
          </w:p>
        </w:tc>
      </w:tr>
      <w:tr>
        <w:tc>
          <w:tcPr>
            <w:tcW w:type="dxa" w:w="8064"/>
          </w:tcPr>
          <w:p>
            <w:pPr>
              <w:spacing w:before="20" w:after="20"/>
            </w:pPr>
            <w:r>
              <w:rPr>
                <w:rFonts w:ascii="Times New Roman" w:hAnsi="Times New Roman"/>
                <w:b w:val="0"/>
                <w:sz w:val="22"/>
              </w:rPr>
              <w:t xml:space="preserve">    5.1 Dashboard Results</w:t>
            </w:r>
          </w:p>
        </w:tc>
        <w:tc>
          <w:tcPr>
            <w:tcW w:type="dxa" w:w="1440"/>
          </w:tcPr>
          <w:p>
            <w:pPr>
              <w:spacing w:before="20" w:after="20"/>
              <w:jc w:val="right"/>
            </w:pPr>
            <w:r>
              <w:rPr>
                <w:rFonts w:ascii="Times New Roman" w:hAnsi="Times New Roman"/>
                <w:b w:val="0"/>
                <w:sz w:val="22"/>
              </w:rPr>
              <w:t>34</w:t>
            </w:r>
          </w:p>
        </w:tc>
      </w:tr>
      <w:tr>
        <w:tc>
          <w:tcPr>
            <w:tcW w:type="dxa" w:w="8064"/>
          </w:tcPr>
          <w:p>
            <w:pPr>
              <w:spacing w:before="20" w:after="20"/>
            </w:pPr>
            <w:r>
              <w:rPr>
                <w:rFonts w:ascii="Times New Roman" w:hAnsi="Times New Roman"/>
                <w:b w:val="0"/>
                <w:sz w:val="22"/>
              </w:rPr>
              <w:t xml:space="preserve">    5.2 Operational Data Results</w:t>
            </w:r>
          </w:p>
        </w:tc>
        <w:tc>
          <w:tcPr>
            <w:tcW w:type="dxa" w:w="1440"/>
          </w:tcPr>
          <w:p>
            <w:pPr>
              <w:spacing w:before="20" w:after="20"/>
              <w:jc w:val="right"/>
            </w:pPr>
            <w:r>
              <w:rPr>
                <w:rFonts w:ascii="Times New Roman" w:hAnsi="Times New Roman"/>
                <w:b w:val="0"/>
                <w:sz w:val="22"/>
              </w:rPr>
              <w:t>35</w:t>
            </w:r>
          </w:p>
        </w:tc>
      </w:tr>
      <w:tr>
        <w:tc>
          <w:tcPr>
            <w:tcW w:type="dxa" w:w="8064"/>
          </w:tcPr>
          <w:p>
            <w:pPr>
              <w:spacing w:before="20" w:after="20"/>
            </w:pPr>
            <w:r>
              <w:rPr>
                <w:rFonts w:ascii="Times New Roman" w:hAnsi="Times New Roman"/>
                <w:b w:val="0"/>
                <w:sz w:val="22"/>
              </w:rPr>
              <w:t xml:space="preserve">    5.3 Analytical SQL Results</w:t>
            </w:r>
          </w:p>
        </w:tc>
        <w:tc>
          <w:tcPr>
            <w:tcW w:type="dxa" w:w="1440"/>
          </w:tcPr>
          <w:p>
            <w:pPr>
              <w:spacing w:before="20" w:after="20"/>
              <w:jc w:val="right"/>
            </w:pPr>
            <w:r>
              <w:rPr>
                <w:rFonts w:ascii="Times New Roman" w:hAnsi="Times New Roman"/>
                <w:b w:val="0"/>
                <w:sz w:val="22"/>
              </w:rPr>
              <w:t>36</w:t>
            </w:r>
          </w:p>
        </w:tc>
      </w:tr>
      <w:tr>
        <w:tc>
          <w:tcPr>
            <w:tcW w:type="dxa" w:w="8064"/>
          </w:tcPr>
          <w:p>
            <w:pPr>
              <w:spacing w:before="20" w:after="20"/>
            </w:pPr>
            <w:r>
              <w:rPr>
                <w:rFonts w:ascii="Times New Roman" w:hAnsi="Times New Roman"/>
                <w:b w:val="0"/>
                <w:sz w:val="22"/>
              </w:rPr>
              <w:t xml:space="preserve">    5.4 Star Schema Results</w:t>
            </w:r>
          </w:p>
        </w:tc>
        <w:tc>
          <w:tcPr>
            <w:tcW w:type="dxa" w:w="1440"/>
          </w:tcPr>
          <w:p>
            <w:pPr>
              <w:spacing w:before="20" w:after="20"/>
              <w:jc w:val="right"/>
            </w:pPr>
            <w:r>
              <w:rPr>
                <w:rFonts w:ascii="Times New Roman" w:hAnsi="Times New Roman"/>
                <w:b w:val="0"/>
                <w:sz w:val="22"/>
              </w:rPr>
              <w:t>37</w:t>
            </w:r>
          </w:p>
        </w:tc>
      </w:tr>
      <w:tr>
        <w:tc>
          <w:tcPr>
            <w:tcW w:type="dxa" w:w="8064"/>
          </w:tcPr>
          <w:p>
            <w:pPr>
              <w:spacing w:before="20" w:after="20"/>
            </w:pPr>
            <w:r>
              <w:rPr>
                <w:rFonts w:ascii="Times New Roman" w:hAnsi="Times New Roman"/>
                <w:b w:val="0"/>
                <w:sz w:val="22"/>
              </w:rPr>
              <w:t xml:space="preserve">    5.5 Snowflake Schema Results</w:t>
            </w:r>
          </w:p>
        </w:tc>
        <w:tc>
          <w:tcPr>
            <w:tcW w:type="dxa" w:w="1440"/>
          </w:tcPr>
          <w:p>
            <w:pPr>
              <w:spacing w:before="20" w:after="20"/>
              <w:jc w:val="right"/>
            </w:pPr>
            <w:r>
              <w:rPr>
                <w:rFonts w:ascii="Times New Roman" w:hAnsi="Times New Roman"/>
                <w:b w:val="0"/>
                <w:sz w:val="22"/>
              </w:rPr>
              <w:t>37</w:t>
            </w:r>
          </w:p>
        </w:tc>
      </w:tr>
      <w:tr>
        <w:tc>
          <w:tcPr>
            <w:tcW w:type="dxa" w:w="8064"/>
          </w:tcPr>
          <w:p>
            <w:pPr>
              <w:spacing w:before="20" w:after="20"/>
            </w:pPr>
            <w:r>
              <w:rPr>
                <w:rFonts w:ascii="Times New Roman" w:hAnsi="Times New Roman"/>
                <w:b w:val="0"/>
                <w:sz w:val="22"/>
              </w:rPr>
              <w:t xml:space="preserve">    5.6 Classification Results</w:t>
            </w:r>
          </w:p>
        </w:tc>
        <w:tc>
          <w:tcPr>
            <w:tcW w:type="dxa" w:w="1440"/>
          </w:tcPr>
          <w:p>
            <w:pPr>
              <w:spacing w:before="20" w:after="20"/>
              <w:jc w:val="right"/>
            </w:pPr>
            <w:r>
              <w:rPr>
                <w:rFonts w:ascii="Times New Roman" w:hAnsi="Times New Roman"/>
                <w:b w:val="0"/>
                <w:sz w:val="22"/>
              </w:rPr>
              <w:t>38</w:t>
            </w:r>
          </w:p>
        </w:tc>
      </w:tr>
      <w:tr>
        <w:tc>
          <w:tcPr>
            <w:tcW w:type="dxa" w:w="8064"/>
          </w:tcPr>
          <w:p>
            <w:pPr>
              <w:spacing w:before="20" w:after="20"/>
            </w:pPr>
            <w:r>
              <w:rPr>
                <w:rFonts w:ascii="Times New Roman" w:hAnsi="Times New Roman"/>
                <w:b w:val="0"/>
                <w:sz w:val="22"/>
              </w:rPr>
              <w:t xml:space="preserve">    5.7 K-Means Clustering Results</w:t>
            </w:r>
          </w:p>
        </w:tc>
        <w:tc>
          <w:tcPr>
            <w:tcW w:type="dxa" w:w="1440"/>
          </w:tcPr>
          <w:p>
            <w:pPr>
              <w:spacing w:before="20" w:after="20"/>
              <w:jc w:val="right"/>
            </w:pPr>
            <w:r>
              <w:rPr>
                <w:rFonts w:ascii="Times New Roman" w:hAnsi="Times New Roman"/>
                <w:b w:val="0"/>
                <w:sz w:val="22"/>
              </w:rPr>
              <w:t>39</w:t>
            </w:r>
          </w:p>
        </w:tc>
      </w:tr>
      <w:tr>
        <w:tc>
          <w:tcPr>
            <w:tcW w:type="dxa" w:w="8064"/>
          </w:tcPr>
          <w:p>
            <w:pPr>
              <w:spacing w:before="20" w:after="20"/>
            </w:pPr>
            <w:r>
              <w:rPr>
                <w:rFonts w:ascii="Times New Roman" w:hAnsi="Times New Roman"/>
                <w:b w:val="0"/>
                <w:sz w:val="22"/>
              </w:rPr>
              <w:t xml:space="preserve">    5.8 Apriori Association Results</w:t>
            </w:r>
          </w:p>
        </w:tc>
        <w:tc>
          <w:tcPr>
            <w:tcW w:type="dxa" w:w="1440"/>
          </w:tcPr>
          <w:p>
            <w:pPr>
              <w:spacing w:before="20" w:after="20"/>
              <w:jc w:val="right"/>
            </w:pPr>
            <w:r>
              <w:rPr>
                <w:rFonts w:ascii="Times New Roman" w:hAnsi="Times New Roman"/>
                <w:b w:val="0"/>
                <w:sz w:val="22"/>
              </w:rPr>
              <w:t>40</w:t>
            </w:r>
          </w:p>
        </w:tc>
      </w:tr>
      <w:tr>
        <w:tc>
          <w:tcPr>
            <w:tcW w:type="dxa" w:w="8064"/>
          </w:tcPr>
          <w:p>
            <w:pPr>
              <w:spacing w:before="20" w:after="20"/>
            </w:pPr>
            <w:r>
              <w:rPr>
                <w:rFonts w:ascii="Times New Roman" w:hAnsi="Times New Roman"/>
                <w:b/>
                <w:sz w:val="22"/>
              </w:rPr>
              <w:t>6   CONCERNS</w:t>
            </w:r>
          </w:p>
        </w:tc>
        <w:tc>
          <w:tcPr>
            <w:tcW w:type="dxa" w:w="1440"/>
          </w:tcPr>
          <w:p>
            <w:pPr>
              <w:spacing w:before="20" w:after="20"/>
              <w:jc w:val="right"/>
            </w:pPr>
            <w:r>
              <w:rPr>
                <w:rFonts w:ascii="Times New Roman" w:hAnsi="Times New Roman"/>
                <w:b/>
                <w:sz w:val="22"/>
              </w:rPr>
              <w:t>41</w:t>
            </w:r>
          </w:p>
        </w:tc>
      </w:tr>
      <w:tr>
        <w:tc>
          <w:tcPr>
            <w:tcW w:type="dxa" w:w="8064"/>
          </w:tcPr>
          <w:p>
            <w:pPr>
              <w:spacing w:before="20" w:after="20"/>
            </w:pPr>
            <w:r>
              <w:rPr>
                <w:rFonts w:ascii="Times New Roman" w:hAnsi="Times New Roman"/>
                <w:b/>
                <w:sz w:val="22"/>
              </w:rPr>
              <w:t>7   CONCLUSIONS AND FUTURE SCOPE</w:t>
            </w:r>
          </w:p>
        </w:tc>
        <w:tc>
          <w:tcPr>
            <w:tcW w:type="dxa" w:w="1440"/>
          </w:tcPr>
          <w:p>
            <w:pPr>
              <w:spacing w:before="20" w:after="20"/>
              <w:jc w:val="right"/>
            </w:pPr>
            <w:r>
              <w:rPr>
                <w:rFonts w:ascii="Times New Roman" w:hAnsi="Times New Roman"/>
                <w:b/>
                <w:sz w:val="22"/>
              </w:rPr>
              <w:t>44</w:t>
            </w:r>
          </w:p>
        </w:tc>
      </w:tr>
      <w:tr>
        <w:tc>
          <w:tcPr>
            <w:tcW w:type="dxa" w:w="8064"/>
          </w:tcPr>
          <w:p>
            <w:pPr>
              <w:spacing w:before="20" w:after="20"/>
            </w:pPr>
            <w:r>
              <w:rPr>
                <w:rFonts w:ascii="Times New Roman" w:hAnsi="Times New Roman"/>
                <w:b w:val="0"/>
                <w:sz w:val="22"/>
              </w:rPr>
              <w:t xml:space="preserve">    7.1 Conclusion</w:t>
            </w:r>
          </w:p>
        </w:tc>
        <w:tc>
          <w:tcPr>
            <w:tcW w:type="dxa" w:w="1440"/>
          </w:tcPr>
          <w:p>
            <w:pPr>
              <w:spacing w:before="20" w:after="20"/>
              <w:jc w:val="right"/>
            </w:pPr>
            <w:r>
              <w:rPr>
                <w:rFonts w:ascii="Times New Roman" w:hAnsi="Times New Roman"/>
                <w:b w:val="0"/>
                <w:sz w:val="22"/>
              </w:rPr>
              <w:t>44</w:t>
            </w:r>
          </w:p>
        </w:tc>
      </w:tr>
      <w:tr>
        <w:tc>
          <w:tcPr>
            <w:tcW w:type="dxa" w:w="8064"/>
          </w:tcPr>
          <w:p>
            <w:pPr>
              <w:spacing w:before="20" w:after="20"/>
            </w:pPr>
            <w:r>
              <w:rPr>
                <w:rFonts w:ascii="Times New Roman" w:hAnsi="Times New Roman"/>
                <w:b w:val="0"/>
                <w:sz w:val="22"/>
              </w:rPr>
              <w:t xml:space="preserve">    7.2 Future Scope</w:t>
            </w:r>
          </w:p>
        </w:tc>
        <w:tc>
          <w:tcPr>
            <w:tcW w:type="dxa" w:w="1440"/>
          </w:tcPr>
          <w:p>
            <w:pPr>
              <w:spacing w:before="20" w:after="20"/>
              <w:jc w:val="right"/>
            </w:pPr>
            <w:r>
              <w:rPr>
                <w:rFonts w:ascii="Times New Roman" w:hAnsi="Times New Roman"/>
                <w:b w:val="0"/>
                <w:sz w:val="22"/>
              </w:rPr>
              <w:t>45</w:t>
            </w:r>
          </w:p>
        </w:tc>
      </w:tr>
      <w:tr>
        <w:tc>
          <w:tcPr>
            <w:tcW w:type="dxa" w:w="8064"/>
          </w:tcPr>
          <w:p>
            <w:pPr>
              <w:spacing w:before="20" w:after="20"/>
            </w:pPr>
            <w:r>
              <w:rPr>
                <w:rFonts w:ascii="Times New Roman" w:hAnsi="Times New Roman"/>
                <w:b/>
                <w:sz w:val="22"/>
              </w:rPr>
              <w:t>8   REFERENCES</w:t>
            </w:r>
          </w:p>
        </w:tc>
        <w:tc>
          <w:tcPr>
            <w:tcW w:type="dxa" w:w="1440"/>
          </w:tcPr>
          <w:p>
            <w:pPr>
              <w:spacing w:before="20" w:after="20"/>
              <w:jc w:val="right"/>
            </w:pPr>
            <w:r>
              <w:rPr>
                <w:rFonts w:ascii="Times New Roman" w:hAnsi="Times New Roman"/>
                <w:b/>
                <w:sz w:val="22"/>
              </w:rPr>
              <w:t>47</w:t>
            </w:r>
          </w:p>
        </w:tc>
      </w:tr>
    </w:tbl>
    <w:p>
      <w:r>
        <w:br w:type="page"/>
      </w:r>
    </w:p>
    <w:p>
      <w:pPr>
        <w:jc w:val="center"/>
      </w:pPr>
      <w:r>
        <w:rPr>
          <w:rFonts w:ascii="Times New Roman" w:hAnsi="Times New Roman"/>
          <w:sz w:val="22"/>
        </w:rPr>
        <w:t>VIII</w:t>
        <w:br/>
        <w:br/>
      </w:r>
    </w:p>
    <w:p>
      <w:pPr>
        <w:spacing w:after="50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2914"/>
        <w:gridCol w:w="2914"/>
        <w:gridCol w:w="2914"/>
      </w:tblGrid>
      <w:tr>
        <w:tc>
          <w:tcPr>
            <w:tcW w:type="dxa" w:w="1152"/>
          </w:tcPr>
          <w:p>
            <w:pPr>
              <w:spacing w:before="40" w:after="40"/>
            </w:pPr>
            <w:r>
              <w:rPr>
                <w:rFonts w:ascii="Times New Roman" w:hAnsi="Times New Roman"/>
                <w:sz w:val="22"/>
              </w:rPr>
              <w:t>3.1</w:t>
            </w:r>
          </w:p>
        </w:tc>
        <w:tc>
          <w:tcPr>
            <w:tcW w:type="dxa" w:w="7200"/>
          </w:tcPr>
          <w:p>
            <w:pPr>
              <w:spacing w:before="40" w:after="40"/>
            </w:pPr>
            <w:r>
              <w:rPr>
                <w:rFonts w:ascii="Times New Roman" w:hAnsi="Times New Roman"/>
                <w:sz w:val="22"/>
              </w:rPr>
              <w:t>LocalDrop End-to-End System Architecture and Processing Flow</w:t>
            </w:r>
          </w:p>
        </w:tc>
        <w:tc>
          <w:tcPr>
            <w:tcW w:type="dxa" w:w="1152"/>
          </w:tcPr>
          <w:p>
            <w:pPr>
              <w:spacing w:before="40" w:after="40"/>
              <w:jc w:val="right"/>
            </w:pPr>
            <w:r>
              <w:rPr>
                <w:rFonts w:ascii="Times New Roman" w:hAnsi="Times New Roman"/>
                <w:sz w:val="22"/>
              </w:rPr>
              <w:t>9</w:t>
            </w:r>
          </w:p>
        </w:tc>
      </w:tr>
      <w:tr>
        <w:tc>
          <w:tcPr>
            <w:tcW w:type="dxa" w:w="1152"/>
          </w:tcPr>
          <w:p>
            <w:pPr>
              <w:spacing w:before="40" w:after="40"/>
            </w:pPr>
            <w:r>
              <w:rPr>
                <w:rFonts w:ascii="Times New Roman" w:hAnsi="Times New Roman"/>
                <w:sz w:val="22"/>
              </w:rPr>
              <w:t>3.2</w:t>
            </w:r>
          </w:p>
        </w:tc>
        <w:tc>
          <w:tcPr>
            <w:tcW w:type="dxa" w:w="7200"/>
          </w:tcPr>
          <w:p>
            <w:pPr>
              <w:spacing w:before="40" w:after="40"/>
            </w:pPr>
            <w:r>
              <w:rPr>
                <w:rFonts w:ascii="Times New Roman" w:hAnsi="Times New Roman"/>
                <w:sz w:val="22"/>
              </w:rPr>
              <w:t>Waterfall Development Lifecycle for LocalDrop Project</w:t>
            </w:r>
          </w:p>
        </w:tc>
        <w:tc>
          <w:tcPr>
            <w:tcW w:type="dxa" w:w="1152"/>
          </w:tcPr>
          <w:p>
            <w:pPr>
              <w:spacing w:before="40" w:after="40"/>
              <w:jc w:val="right"/>
            </w:pPr>
            <w:r>
              <w:rPr>
                <w:rFonts w:ascii="Times New Roman" w:hAnsi="Times New Roman"/>
                <w:sz w:val="22"/>
              </w:rPr>
              <w:t>11</w:t>
            </w:r>
          </w:p>
        </w:tc>
      </w:tr>
      <w:tr>
        <w:tc>
          <w:tcPr>
            <w:tcW w:type="dxa" w:w="1152"/>
          </w:tcPr>
          <w:p>
            <w:pPr>
              <w:spacing w:before="40" w:after="40"/>
            </w:pPr>
            <w:r>
              <w:rPr>
                <w:rFonts w:ascii="Times New Roman" w:hAnsi="Times New Roman"/>
                <w:sz w:val="22"/>
              </w:rPr>
              <w:t>3.3</w:t>
            </w:r>
          </w:p>
        </w:tc>
        <w:tc>
          <w:tcPr>
            <w:tcW w:type="dxa" w:w="7200"/>
          </w:tcPr>
          <w:p>
            <w:pPr>
              <w:spacing w:before="40" w:after="40"/>
            </w:pPr>
            <w:r>
              <w:rPr>
                <w:rFonts w:ascii="Times New Roman" w:hAnsi="Times New Roman"/>
                <w:sz w:val="22"/>
              </w:rPr>
              <w:t>Project Execution Timeline Schedule</w:t>
            </w:r>
          </w:p>
        </w:tc>
        <w:tc>
          <w:tcPr>
            <w:tcW w:type="dxa" w:w="1152"/>
          </w:tcPr>
          <w:p>
            <w:pPr>
              <w:spacing w:before="40" w:after="40"/>
              <w:jc w:val="right"/>
            </w:pPr>
            <w:r>
              <w:rPr>
                <w:rFonts w:ascii="Times New Roman" w:hAnsi="Times New Roman"/>
                <w:sz w:val="22"/>
              </w:rPr>
              <w:t>14</w:t>
            </w:r>
          </w:p>
        </w:tc>
      </w:tr>
      <w:tr>
        <w:tc>
          <w:tcPr>
            <w:tcW w:type="dxa" w:w="1152"/>
          </w:tcPr>
          <w:p>
            <w:pPr>
              <w:spacing w:before="40" w:after="40"/>
            </w:pPr>
            <w:r>
              <w:rPr>
                <w:rFonts w:ascii="Times New Roman" w:hAnsi="Times New Roman"/>
                <w:sz w:val="22"/>
              </w:rPr>
              <w:t>3.4</w:t>
            </w:r>
          </w:p>
        </w:tc>
        <w:tc>
          <w:tcPr>
            <w:tcW w:type="dxa" w:w="7200"/>
          </w:tcPr>
          <w:p>
            <w:pPr>
              <w:spacing w:before="40" w:after="40"/>
            </w:pPr>
            <w:r>
              <w:rPr>
                <w:rFonts w:ascii="Times New Roman" w:hAnsi="Times New Roman"/>
                <w:sz w:val="22"/>
              </w:rPr>
              <w:t>Gantt Chart of Project Development Phases</w:t>
            </w:r>
          </w:p>
        </w:tc>
        <w:tc>
          <w:tcPr>
            <w:tcW w:type="dxa" w:w="1152"/>
          </w:tcPr>
          <w:p>
            <w:pPr>
              <w:spacing w:before="40" w:after="40"/>
              <w:jc w:val="right"/>
            </w:pPr>
            <w:r>
              <w:rPr>
                <w:rFonts w:ascii="Times New Roman" w:hAnsi="Times New Roman"/>
                <w:sz w:val="22"/>
              </w:rPr>
              <w:t>14</w:t>
            </w:r>
          </w:p>
        </w:tc>
      </w:tr>
      <w:tr>
        <w:tc>
          <w:tcPr>
            <w:tcW w:type="dxa" w:w="1152"/>
          </w:tcPr>
          <w:p>
            <w:pPr>
              <w:spacing w:before="40" w:after="40"/>
            </w:pPr>
            <w:r>
              <w:rPr>
                <w:rFonts w:ascii="Times New Roman" w:hAnsi="Times New Roman"/>
                <w:sz w:val="22"/>
              </w:rPr>
              <w:t>3.5</w:t>
            </w:r>
          </w:p>
        </w:tc>
        <w:tc>
          <w:tcPr>
            <w:tcW w:type="dxa" w:w="7200"/>
          </w:tcPr>
          <w:p>
            <w:pPr>
              <w:spacing w:before="40" w:after="40"/>
            </w:pPr>
            <w:r>
              <w:rPr>
                <w:rFonts w:ascii="Times New Roman" w:hAnsi="Times New Roman"/>
                <w:sz w:val="22"/>
              </w:rPr>
              <w:t>Sequence Diagram Illustrating Request-Response and Mining Workflow</w:t>
            </w:r>
          </w:p>
        </w:tc>
        <w:tc>
          <w:tcPr>
            <w:tcW w:type="dxa" w:w="1152"/>
          </w:tcPr>
          <w:p>
            <w:pPr>
              <w:spacing w:before="40" w:after="40"/>
              <w:jc w:val="right"/>
            </w:pPr>
            <w:r>
              <w:rPr>
                <w:rFonts w:ascii="Times New Roman" w:hAnsi="Times New Roman"/>
                <w:sz w:val="22"/>
              </w:rPr>
              <w:t>15</w:t>
            </w:r>
          </w:p>
        </w:tc>
      </w:tr>
      <w:tr>
        <w:tc>
          <w:tcPr>
            <w:tcW w:type="dxa" w:w="1152"/>
          </w:tcPr>
          <w:p>
            <w:pPr>
              <w:spacing w:before="40" w:after="40"/>
            </w:pPr>
            <w:r>
              <w:rPr>
                <w:rFonts w:ascii="Times New Roman" w:hAnsi="Times New Roman"/>
                <w:sz w:val="22"/>
              </w:rPr>
              <w:t>3.8</w:t>
            </w:r>
          </w:p>
        </w:tc>
        <w:tc>
          <w:tcPr>
            <w:tcW w:type="dxa" w:w="7200"/>
          </w:tcPr>
          <w:p>
            <w:pPr>
              <w:spacing w:before="40" w:after="40"/>
            </w:pPr>
            <w:r>
              <w:rPr>
                <w:rFonts w:ascii="Times New Roman" w:hAnsi="Times New Roman"/>
                <w:sz w:val="22"/>
              </w:rPr>
              <w:t>Operational Relational Database Schema (OLTP Entity-Relationship Diagram)</w:t>
            </w:r>
          </w:p>
        </w:tc>
        <w:tc>
          <w:tcPr>
            <w:tcW w:type="dxa" w:w="1152"/>
          </w:tcPr>
          <w:p>
            <w:pPr>
              <w:spacing w:before="40" w:after="40"/>
              <w:jc w:val="right"/>
            </w:pPr>
            <w:r>
              <w:rPr>
                <w:rFonts w:ascii="Times New Roman" w:hAnsi="Times New Roman"/>
                <w:sz w:val="22"/>
              </w:rPr>
              <w:t>16</w:t>
            </w:r>
          </w:p>
        </w:tc>
      </w:tr>
      <w:tr>
        <w:tc>
          <w:tcPr>
            <w:tcW w:type="dxa" w:w="1152"/>
          </w:tcPr>
          <w:p>
            <w:pPr>
              <w:spacing w:before="40" w:after="40"/>
            </w:pPr>
            <w:r>
              <w:rPr>
                <w:rFonts w:ascii="Times New Roman" w:hAnsi="Times New Roman"/>
                <w:sz w:val="22"/>
              </w:rPr>
              <w:t>4.1</w:t>
            </w:r>
          </w:p>
        </w:tc>
        <w:tc>
          <w:tcPr>
            <w:tcW w:type="dxa" w:w="7200"/>
          </w:tcPr>
          <w:p>
            <w:pPr>
              <w:spacing w:before="40" w:after="40"/>
            </w:pPr>
            <w:r>
              <w:rPr>
                <w:rFonts w:ascii="Times New Roman" w:hAnsi="Times New Roman"/>
                <w:sz w:val="22"/>
              </w:rPr>
              <w:t>Star Schema Architectural Layout (Denormalized Dimensions)</w:t>
            </w:r>
          </w:p>
        </w:tc>
        <w:tc>
          <w:tcPr>
            <w:tcW w:type="dxa" w:w="1152"/>
          </w:tcPr>
          <w:p>
            <w:pPr>
              <w:spacing w:before="40" w:after="40"/>
              <w:jc w:val="right"/>
            </w:pPr>
            <w:r>
              <w:rPr>
                <w:rFonts w:ascii="Times New Roman" w:hAnsi="Times New Roman"/>
                <w:sz w:val="22"/>
              </w:rPr>
              <w:t>21</w:t>
            </w:r>
          </w:p>
        </w:tc>
      </w:tr>
      <w:tr>
        <w:tc>
          <w:tcPr>
            <w:tcW w:type="dxa" w:w="1152"/>
          </w:tcPr>
          <w:p>
            <w:pPr>
              <w:spacing w:before="40" w:after="40"/>
            </w:pPr>
            <w:r>
              <w:rPr>
                <w:rFonts w:ascii="Times New Roman" w:hAnsi="Times New Roman"/>
                <w:sz w:val="22"/>
              </w:rPr>
              <w:t>4.2</w:t>
            </w:r>
          </w:p>
        </w:tc>
        <w:tc>
          <w:tcPr>
            <w:tcW w:type="dxa" w:w="7200"/>
          </w:tcPr>
          <w:p>
            <w:pPr>
              <w:spacing w:before="40" w:after="40"/>
            </w:pPr>
            <w:r>
              <w:rPr>
                <w:rFonts w:ascii="Times New Roman" w:hAnsi="Times New Roman"/>
                <w:sz w:val="22"/>
              </w:rPr>
              <w:t>Snowflake Schema with Normalized Product Category Dimension</w:t>
            </w:r>
          </w:p>
        </w:tc>
        <w:tc>
          <w:tcPr>
            <w:tcW w:type="dxa" w:w="1152"/>
          </w:tcPr>
          <w:p>
            <w:pPr>
              <w:spacing w:before="40" w:after="40"/>
              <w:jc w:val="right"/>
            </w:pPr>
            <w:r>
              <w:rPr>
                <w:rFonts w:ascii="Times New Roman" w:hAnsi="Times New Roman"/>
                <w:sz w:val="22"/>
              </w:rPr>
              <w:t>22</w:t>
            </w:r>
          </w:p>
        </w:tc>
      </w:tr>
      <w:tr>
        <w:tc>
          <w:tcPr>
            <w:tcW w:type="dxa" w:w="1152"/>
          </w:tcPr>
          <w:p>
            <w:pPr>
              <w:spacing w:before="40" w:after="40"/>
            </w:pPr>
            <w:r>
              <w:rPr>
                <w:rFonts w:ascii="Times New Roman" w:hAnsi="Times New Roman"/>
                <w:sz w:val="22"/>
              </w:rPr>
              <w:t>4.3</w:t>
            </w:r>
          </w:p>
        </w:tc>
        <w:tc>
          <w:tcPr>
            <w:tcW w:type="dxa" w:w="7200"/>
          </w:tcPr>
          <w:p>
            <w:pPr>
              <w:spacing w:before="40" w:after="40"/>
            </w:pPr>
            <w:r>
              <w:rPr>
                <w:rFonts w:ascii="Times New Roman" w:hAnsi="Times New Roman"/>
                <w:sz w:val="22"/>
              </w:rPr>
              <w:t>Business Intelligence Dashboard GUI Overview</w:t>
            </w:r>
          </w:p>
        </w:tc>
        <w:tc>
          <w:tcPr>
            <w:tcW w:type="dxa" w:w="1152"/>
          </w:tcPr>
          <w:p>
            <w:pPr>
              <w:spacing w:before="40" w:after="40"/>
              <w:jc w:val="right"/>
            </w:pPr>
            <w:r>
              <w:rPr>
                <w:rFonts w:ascii="Times New Roman" w:hAnsi="Times New Roman"/>
                <w:sz w:val="22"/>
              </w:rPr>
              <w:t>23</w:t>
            </w:r>
          </w:p>
        </w:tc>
      </w:tr>
      <w:tr>
        <w:tc>
          <w:tcPr>
            <w:tcW w:type="dxa" w:w="1152"/>
          </w:tcPr>
          <w:p>
            <w:pPr>
              <w:spacing w:before="40" w:after="40"/>
            </w:pPr>
            <w:r>
              <w:rPr>
                <w:rFonts w:ascii="Times New Roman" w:hAnsi="Times New Roman"/>
                <w:sz w:val="22"/>
              </w:rPr>
              <w:t>4.4</w:t>
            </w:r>
          </w:p>
        </w:tc>
        <w:tc>
          <w:tcPr>
            <w:tcW w:type="dxa" w:w="7200"/>
          </w:tcPr>
          <w:p>
            <w:pPr>
              <w:spacing w:before="40" w:after="40"/>
            </w:pPr>
            <w:r>
              <w:rPr>
                <w:rFonts w:ascii="Times New Roman" w:hAnsi="Times New Roman"/>
                <w:sz w:val="22"/>
              </w:rPr>
              <w:t>Operational Orders Management Page with Live Search and Filtering</w:t>
            </w:r>
          </w:p>
        </w:tc>
        <w:tc>
          <w:tcPr>
            <w:tcW w:type="dxa" w:w="1152"/>
          </w:tcPr>
          <w:p>
            <w:pPr>
              <w:spacing w:before="40" w:after="40"/>
              <w:jc w:val="right"/>
            </w:pPr>
            <w:r>
              <w:rPr>
                <w:rFonts w:ascii="Times New Roman" w:hAnsi="Times New Roman"/>
                <w:sz w:val="22"/>
              </w:rPr>
              <w:t>24</w:t>
            </w:r>
          </w:p>
        </w:tc>
      </w:tr>
      <w:tr>
        <w:tc>
          <w:tcPr>
            <w:tcW w:type="dxa" w:w="1152"/>
          </w:tcPr>
          <w:p>
            <w:pPr>
              <w:spacing w:before="40" w:after="40"/>
            </w:pPr>
            <w:r>
              <w:rPr>
                <w:rFonts w:ascii="Times New Roman" w:hAnsi="Times New Roman"/>
                <w:sz w:val="22"/>
              </w:rPr>
              <w:t>4.5</w:t>
            </w:r>
          </w:p>
        </w:tc>
        <w:tc>
          <w:tcPr>
            <w:tcW w:type="dxa" w:w="7200"/>
          </w:tcPr>
          <w:p>
            <w:pPr>
              <w:spacing w:before="40" w:after="40"/>
            </w:pPr>
            <w:r>
              <w:rPr>
                <w:rFonts w:ascii="Times New Roman" w:hAnsi="Times New Roman"/>
                <w:sz w:val="22"/>
              </w:rPr>
              <w:t>Product Inventory and Calculated Margin Catalog GUI</w:t>
            </w:r>
          </w:p>
        </w:tc>
        <w:tc>
          <w:tcPr>
            <w:tcW w:type="dxa" w:w="1152"/>
          </w:tcPr>
          <w:p>
            <w:pPr>
              <w:spacing w:before="40" w:after="40"/>
              <w:jc w:val="right"/>
            </w:pPr>
            <w:r>
              <w:rPr>
                <w:rFonts w:ascii="Times New Roman" w:hAnsi="Times New Roman"/>
                <w:sz w:val="22"/>
              </w:rPr>
              <w:t>24</w:t>
            </w:r>
          </w:p>
        </w:tc>
      </w:tr>
      <w:tr>
        <w:tc>
          <w:tcPr>
            <w:tcW w:type="dxa" w:w="1152"/>
          </w:tcPr>
          <w:p>
            <w:pPr>
              <w:spacing w:before="40" w:after="40"/>
            </w:pPr>
            <w:r>
              <w:rPr>
                <w:rFonts w:ascii="Times New Roman" w:hAnsi="Times New Roman"/>
                <w:sz w:val="22"/>
              </w:rPr>
              <w:t>4.6</w:t>
            </w:r>
          </w:p>
        </w:tc>
        <w:tc>
          <w:tcPr>
            <w:tcW w:type="dxa" w:w="7200"/>
          </w:tcPr>
          <w:p>
            <w:pPr>
              <w:spacing w:before="40" w:after="40"/>
            </w:pPr>
            <w:r>
              <w:rPr>
                <w:rFonts w:ascii="Times New Roman" w:hAnsi="Times New Roman"/>
                <w:sz w:val="22"/>
              </w:rPr>
              <w:t>Customer Directory and Lifetime Value Visualization GUI</w:t>
            </w:r>
          </w:p>
        </w:tc>
        <w:tc>
          <w:tcPr>
            <w:tcW w:type="dxa" w:w="1152"/>
          </w:tcPr>
          <w:p>
            <w:pPr>
              <w:spacing w:before="40" w:after="40"/>
              <w:jc w:val="right"/>
            </w:pPr>
            <w:r>
              <w:rPr>
                <w:rFonts w:ascii="Times New Roman" w:hAnsi="Times New Roman"/>
                <w:sz w:val="22"/>
              </w:rPr>
              <w:t>25</w:t>
            </w:r>
          </w:p>
        </w:tc>
      </w:tr>
      <w:tr>
        <w:tc>
          <w:tcPr>
            <w:tcW w:type="dxa" w:w="1152"/>
          </w:tcPr>
          <w:p>
            <w:pPr>
              <w:spacing w:before="40" w:after="40"/>
            </w:pPr>
            <w:r>
              <w:rPr>
                <w:rFonts w:ascii="Times New Roman" w:hAnsi="Times New Roman"/>
                <w:sz w:val="22"/>
              </w:rPr>
              <w:t>4.7</w:t>
            </w:r>
          </w:p>
        </w:tc>
        <w:tc>
          <w:tcPr>
            <w:tcW w:type="dxa" w:w="7200"/>
          </w:tcPr>
          <w:p>
            <w:pPr>
              <w:spacing w:before="40" w:after="40"/>
            </w:pPr>
            <w:r>
              <w:rPr>
                <w:rFonts w:ascii="Times New Roman" w:hAnsi="Times New Roman"/>
                <w:sz w:val="22"/>
              </w:rPr>
              <w:t>Supplier Performance Network and Revenue Tracking GUI</w:t>
            </w:r>
          </w:p>
        </w:tc>
        <w:tc>
          <w:tcPr>
            <w:tcW w:type="dxa" w:w="1152"/>
          </w:tcPr>
          <w:p>
            <w:pPr>
              <w:spacing w:before="40" w:after="40"/>
              <w:jc w:val="right"/>
            </w:pPr>
            <w:r>
              <w:rPr>
                <w:rFonts w:ascii="Times New Roman" w:hAnsi="Times New Roman"/>
                <w:sz w:val="22"/>
              </w:rPr>
              <w:t>25</w:t>
            </w:r>
          </w:p>
        </w:tc>
      </w:tr>
      <w:tr>
        <w:tc>
          <w:tcPr>
            <w:tcW w:type="dxa" w:w="1152"/>
          </w:tcPr>
          <w:p>
            <w:pPr>
              <w:spacing w:before="40" w:after="40"/>
            </w:pPr>
            <w:r>
              <w:rPr>
                <w:rFonts w:ascii="Times New Roman" w:hAnsi="Times New Roman"/>
                <w:sz w:val="22"/>
              </w:rPr>
              <w:t>4.8</w:t>
            </w:r>
          </w:p>
        </w:tc>
        <w:tc>
          <w:tcPr>
            <w:tcW w:type="dxa" w:w="7200"/>
          </w:tcPr>
          <w:p>
            <w:pPr>
              <w:spacing w:before="40" w:after="40"/>
            </w:pPr>
            <w:r>
              <w:rPr>
                <w:rFonts w:ascii="Times New Roman" w:hAnsi="Times New Roman"/>
                <w:sz w:val="22"/>
              </w:rPr>
              <w:t>Advanced Analytical SQL Results Portal GUI</w:t>
            </w:r>
          </w:p>
        </w:tc>
        <w:tc>
          <w:tcPr>
            <w:tcW w:type="dxa" w:w="1152"/>
          </w:tcPr>
          <w:p>
            <w:pPr>
              <w:spacing w:before="40" w:after="40"/>
              <w:jc w:val="right"/>
            </w:pPr>
            <w:r>
              <w:rPr>
                <w:rFonts w:ascii="Times New Roman" w:hAnsi="Times New Roman"/>
                <w:sz w:val="22"/>
              </w:rPr>
              <w:t>26</w:t>
            </w:r>
          </w:p>
        </w:tc>
      </w:tr>
      <w:tr>
        <w:tc>
          <w:tcPr>
            <w:tcW w:type="dxa" w:w="1152"/>
          </w:tcPr>
          <w:p>
            <w:pPr>
              <w:spacing w:before="40" w:after="40"/>
            </w:pPr>
            <w:r>
              <w:rPr>
                <w:rFonts w:ascii="Times New Roman" w:hAnsi="Times New Roman"/>
                <w:sz w:val="22"/>
              </w:rPr>
              <w:t>4.9</w:t>
            </w:r>
          </w:p>
        </w:tc>
        <w:tc>
          <w:tcPr>
            <w:tcW w:type="dxa" w:w="7200"/>
          </w:tcPr>
          <w:p>
            <w:pPr>
              <w:spacing w:before="40" w:after="40"/>
            </w:pPr>
            <w:r>
              <w:rPr>
                <w:rFonts w:ascii="Times New Roman" w:hAnsi="Times New Roman"/>
                <w:sz w:val="22"/>
              </w:rPr>
              <w:t>Data Preprocessing and Cleansing Pipeline Demonstration GUI</w:t>
            </w:r>
          </w:p>
        </w:tc>
        <w:tc>
          <w:tcPr>
            <w:tcW w:type="dxa" w:w="1152"/>
          </w:tcPr>
          <w:p>
            <w:pPr>
              <w:spacing w:before="40" w:after="40"/>
              <w:jc w:val="right"/>
            </w:pPr>
            <w:r>
              <w:rPr>
                <w:rFonts w:ascii="Times New Roman" w:hAnsi="Times New Roman"/>
                <w:sz w:val="22"/>
              </w:rPr>
              <w:t>26</w:t>
            </w:r>
          </w:p>
        </w:tc>
      </w:tr>
      <w:tr>
        <w:tc>
          <w:tcPr>
            <w:tcW w:type="dxa" w:w="1152"/>
          </w:tcPr>
          <w:p>
            <w:pPr>
              <w:spacing w:before="40" w:after="40"/>
            </w:pPr>
            <w:r>
              <w:rPr>
                <w:rFonts w:ascii="Times New Roman" w:hAnsi="Times New Roman"/>
                <w:sz w:val="22"/>
              </w:rPr>
              <w:t>4.10</w:t>
            </w:r>
          </w:p>
        </w:tc>
        <w:tc>
          <w:tcPr>
            <w:tcW w:type="dxa" w:w="7200"/>
          </w:tcPr>
          <w:p>
            <w:pPr>
              <w:spacing w:before="40" w:after="40"/>
            </w:pPr>
            <w:r>
              <w:rPr>
                <w:rFonts w:ascii="Times New Roman" w:hAnsi="Times New Roman"/>
                <w:sz w:val="22"/>
              </w:rPr>
              <w:t>Data Warehouse Interactive Schema Visualization GUI</w:t>
            </w:r>
          </w:p>
        </w:tc>
        <w:tc>
          <w:tcPr>
            <w:tcW w:type="dxa" w:w="1152"/>
          </w:tcPr>
          <w:p>
            <w:pPr>
              <w:spacing w:before="40" w:after="40"/>
              <w:jc w:val="right"/>
            </w:pPr>
            <w:r>
              <w:rPr>
                <w:rFonts w:ascii="Times New Roman" w:hAnsi="Times New Roman"/>
                <w:sz w:val="22"/>
              </w:rPr>
              <w:t>27</w:t>
            </w:r>
          </w:p>
        </w:tc>
      </w:tr>
      <w:tr>
        <w:tc>
          <w:tcPr>
            <w:tcW w:type="dxa" w:w="1152"/>
          </w:tcPr>
          <w:p>
            <w:pPr>
              <w:spacing w:before="40" w:after="40"/>
            </w:pPr>
            <w:r>
              <w:rPr>
                <w:rFonts w:ascii="Times New Roman" w:hAnsi="Times New Roman"/>
                <w:sz w:val="22"/>
              </w:rPr>
              <w:t>4.11</w:t>
            </w:r>
          </w:p>
        </w:tc>
        <w:tc>
          <w:tcPr>
            <w:tcW w:type="dxa" w:w="7200"/>
          </w:tcPr>
          <w:p>
            <w:pPr>
              <w:spacing w:before="40" w:after="40"/>
            </w:pPr>
            <w:r>
              <w:rPr>
                <w:rFonts w:ascii="Times New Roman" w:hAnsi="Times New Roman"/>
                <w:sz w:val="22"/>
              </w:rPr>
              <w:t>Data Mining Portal (Classification, Clustering, Association) GUI</w:t>
            </w:r>
          </w:p>
        </w:tc>
        <w:tc>
          <w:tcPr>
            <w:tcW w:type="dxa" w:w="1152"/>
          </w:tcPr>
          <w:p>
            <w:pPr>
              <w:spacing w:before="40" w:after="40"/>
              <w:jc w:val="right"/>
            </w:pPr>
            <w:r>
              <w:rPr>
                <w:rFonts w:ascii="Times New Roman" w:hAnsi="Times New Roman"/>
                <w:sz w:val="22"/>
              </w:rPr>
              <w:t>27</w:t>
            </w:r>
          </w:p>
        </w:tc>
      </w:tr>
      <w:tr>
        <w:tc>
          <w:tcPr>
            <w:tcW w:type="dxa" w:w="1152"/>
          </w:tcPr>
          <w:p>
            <w:pPr>
              <w:spacing w:before="40" w:after="40"/>
            </w:pPr>
            <w:r>
              <w:rPr>
                <w:rFonts w:ascii="Times New Roman" w:hAnsi="Times New Roman"/>
                <w:sz w:val="22"/>
              </w:rPr>
              <w:t>5.1</w:t>
            </w:r>
          </w:p>
        </w:tc>
        <w:tc>
          <w:tcPr>
            <w:tcW w:type="dxa" w:w="7200"/>
          </w:tcPr>
          <w:p>
            <w:pPr>
              <w:spacing w:before="40" w:after="40"/>
            </w:pPr>
            <w:r>
              <w:rPr>
                <w:rFonts w:ascii="Times New Roman" w:hAnsi="Times New Roman"/>
                <w:sz w:val="22"/>
              </w:rPr>
              <w:t>Monthly Sales Revenue Trend (OLAP Analytical Result)</w:t>
            </w:r>
          </w:p>
        </w:tc>
        <w:tc>
          <w:tcPr>
            <w:tcW w:type="dxa" w:w="1152"/>
          </w:tcPr>
          <w:p>
            <w:pPr>
              <w:spacing w:before="40" w:after="40"/>
              <w:jc w:val="right"/>
            </w:pPr>
            <w:r>
              <w:rPr>
                <w:rFonts w:ascii="Times New Roman" w:hAnsi="Times New Roman"/>
                <w:sz w:val="22"/>
              </w:rPr>
              <w:t>36</w:t>
            </w:r>
          </w:p>
        </w:tc>
      </w:tr>
      <w:tr>
        <w:tc>
          <w:tcPr>
            <w:tcW w:type="dxa" w:w="1152"/>
          </w:tcPr>
          <w:p>
            <w:pPr>
              <w:spacing w:before="40" w:after="40"/>
            </w:pPr>
            <w:r>
              <w:rPr>
                <w:rFonts w:ascii="Times New Roman" w:hAnsi="Times New Roman"/>
                <w:sz w:val="22"/>
              </w:rPr>
              <w:t>5.6</w:t>
            </w:r>
          </w:p>
        </w:tc>
        <w:tc>
          <w:tcPr>
            <w:tcW w:type="dxa" w:w="7200"/>
          </w:tcPr>
          <w:p>
            <w:pPr>
              <w:spacing w:before="40" w:after="40"/>
            </w:pPr>
            <w:r>
              <w:rPr>
                <w:rFonts w:ascii="Times New Roman" w:hAnsi="Times New Roman"/>
                <w:sz w:val="22"/>
              </w:rPr>
              <w:t>K-Means Customer Clustering Scatter Plot (k=3)</w:t>
            </w:r>
          </w:p>
        </w:tc>
        <w:tc>
          <w:tcPr>
            <w:tcW w:type="dxa" w:w="1152"/>
          </w:tcPr>
          <w:p>
            <w:pPr>
              <w:spacing w:before="40" w:after="40"/>
              <w:jc w:val="right"/>
            </w:pPr>
            <w:r>
              <w:rPr>
                <w:rFonts w:ascii="Times New Roman" w:hAnsi="Times New Roman"/>
                <w:sz w:val="22"/>
              </w:rPr>
              <w:t>39</w:t>
            </w:r>
          </w:p>
        </w:tc>
      </w:tr>
    </w:tbl>
    <w:p>
      <w:r>
        <w:br w:type="page"/>
      </w:r>
    </w:p>
    <w:p>
      <w:pPr>
        <w:jc w:val="center"/>
      </w:pPr>
      <w:r>
        <w:rPr>
          <w:rFonts w:ascii="Times New Roman" w:hAnsi="Times New Roman"/>
          <w:sz w:val="22"/>
        </w:rPr>
        <w:t>IX</w:t>
        <w:br/>
        <w:br/>
      </w:r>
    </w:p>
    <w:p>
      <w:pPr>
        <w:spacing w:after="50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2914"/>
        <w:gridCol w:w="2914"/>
        <w:gridCol w:w="2914"/>
      </w:tblGrid>
      <w:tr>
        <w:tc>
          <w:tcPr>
            <w:tcW w:type="dxa" w:w="1152"/>
          </w:tcPr>
          <w:p>
            <w:pPr>
              <w:spacing w:before="40" w:after="40"/>
            </w:pPr>
            <w:r>
              <w:rPr>
                <w:rFonts w:ascii="Times New Roman" w:hAnsi="Times New Roman"/>
                <w:sz w:val="22"/>
              </w:rPr>
              <w:t>2.1</w:t>
            </w:r>
          </w:p>
        </w:tc>
        <w:tc>
          <w:tcPr>
            <w:tcW w:type="dxa" w:w="7200"/>
          </w:tcPr>
          <w:p>
            <w:pPr>
              <w:spacing w:before="40" w:after="40"/>
            </w:pPr>
            <w:r>
              <w:rPr>
                <w:rFonts w:ascii="Times New Roman" w:hAnsi="Times New Roman"/>
                <w:sz w:val="22"/>
              </w:rPr>
              <w:t>Comparison of Literature Surveyed</w:t>
            </w:r>
          </w:p>
        </w:tc>
        <w:tc>
          <w:tcPr>
            <w:tcW w:type="dxa" w:w="1152"/>
          </w:tcPr>
          <w:p>
            <w:pPr>
              <w:spacing w:before="40" w:after="40"/>
              <w:jc w:val="right"/>
            </w:pPr>
            <w:r>
              <w:rPr>
                <w:rFonts w:ascii="Times New Roman" w:hAnsi="Times New Roman"/>
                <w:sz w:val="22"/>
              </w:rPr>
              <w:t>6</w:t>
            </w:r>
          </w:p>
        </w:tc>
      </w:tr>
      <w:tr>
        <w:tc>
          <w:tcPr>
            <w:tcW w:type="dxa" w:w="1152"/>
          </w:tcPr>
          <w:p>
            <w:pPr>
              <w:spacing w:before="40" w:after="40"/>
            </w:pPr>
            <w:r>
              <w:rPr>
                <w:rFonts w:ascii="Times New Roman" w:hAnsi="Times New Roman"/>
                <w:sz w:val="22"/>
              </w:rPr>
              <w:t>4.1</w:t>
            </w:r>
          </w:p>
        </w:tc>
        <w:tc>
          <w:tcPr>
            <w:tcW w:type="dxa" w:w="7200"/>
          </w:tcPr>
          <w:p>
            <w:pPr>
              <w:spacing w:before="40" w:after="40"/>
            </w:pPr>
            <w:r>
              <w:rPr>
                <w:rFonts w:ascii="Times New Roman" w:hAnsi="Times New Roman"/>
                <w:sz w:val="22"/>
              </w:rPr>
              <w:t>Operational Database Tables &amp; Field Definitions</w:t>
            </w:r>
          </w:p>
        </w:tc>
        <w:tc>
          <w:tcPr>
            <w:tcW w:type="dxa" w:w="1152"/>
          </w:tcPr>
          <w:p>
            <w:pPr>
              <w:spacing w:before="40" w:after="40"/>
              <w:jc w:val="right"/>
            </w:pPr>
            <w:r>
              <w:rPr>
                <w:rFonts w:ascii="Times New Roman" w:hAnsi="Times New Roman"/>
                <w:sz w:val="22"/>
              </w:rPr>
              <w:t>18</w:t>
            </w:r>
          </w:p>
        </w:tc>
      </w:tr>
      <w:tr>
        <w:tc>
          <w:tcPr>
            <w:tcW w:type="dxa" w:w="1152"/>
          </w:tcPr>
          <w:p>
            <w:pPr>
              <w:spacing w:before="40" w:after="40"/>
            </w:pPr>
            <w:r>
              <w:rPr>
                <w:rFonts w:ascii="Times New Roman" w:hAnsi="Times New Roman"/>
                <w:sz w:val="22"/>
              </w:rPr>
              <w:t>4.2</w:t>
            </w:r>
          </w:p>
        </w:tc>
        <w:tc>
          <w:tcPr>
            <w:tcW w:type="dxa" w:w="7200"/>
          </w:tcPr>
          <w:p>
            <w:pPr>
              <w:spacing w:before="40" w:after="40"/>
            </w:pPr>
            <w:r>
              <w:rPr>
                <w:rFonts w:ascii="Times New Roman" w:hAnsi="Times New Roman"/>
                <w:sz w:val="22"/>
              </w:rPr>
              <w:t>Data Warehouse Star and Snowflake Schema Table Definitions</w:t>
            </w:r>
          </w:p>
        </w:tc>
        <w:tc>
          <w:tcPr>
            <w:tcW w:type="dxa" w:w="1152"/>
          </w:tcPr>
          <w:p>
            <w:pPr>
              <w:spacing w:before="40" w:after="40"/>
              <w:jc w:val="right"/>
            </w:pPr>
            <w:r>
              <w:rPr>
                <w:rFonts w:ascii="Times New Roman" w:hAnsi="Times New Roman"/>
                <w:sz w:val="22"/>
              </w:rPr>
              <w:t>21</w:t>
            </w:r>
          </w:p>
        </w:tc>
      </w:tr>
      <w:tr>
        <w:tc>
          <w:tcPr>
            <w:tcW w:type="dxa" w:w="1152"/>
          </w:tcPr>
          <w:p>
            <w:pPr>
              <w:spacing w:before="40" w:after="40"/>
            </w:pPr>
            <w:r>
              <w:rPr>
                <w:rFonts w:ascii="Times New Roman" w:hAnsi="Times New Roman"/>
                <w:sz w:val="22"/>
              </w:rPr>
              <w:t>4.3</w:t>
            </w:r>
          </w:p>
        </w:tc>
        <w:tc>
          <w:tcPr>
            <w:tcW w:type="dxa" w:w="7200"/>
          </w:tcPr>
          <w:p>
            <w:pPr>
              <w:spacing w:before="40" w:after="40"/>
            </w:pPr>
            <w:r>
              <w:rPr>
                <w:rFonts w:ascii="Times New Roman" w:hAnsi="Times New Roman"/>
                <w:sz w:val="22"/>
              </w:rPr>
              <w:t>Analytical SQL Query Specifications and Performance Logic</w:t>
            </w:r>
          </w:p>
        </w:tc>
        <w:tc>
          <w:tcPr>
            <w:tcW w:type="dxa" w:w="1152"/>
          </w:tcPr>
          <w:p>
            <w:pPr>
              <w:spacing w:before="40" w:after="40"/>
              <w:jc w:val="right"/>
            </w:pPr>
            <w:r>
              <w:rPr>
                <w:rFonts w:ascii="Times New Roman" w:hAnsi="Times New Roman"/>
                <w:sz w:val="22"/>
              </w:rPr>
              <w:t>22</w:t>
            </w:r>
          </w:p>
        </w:tc>
      </w:tr>
      <w:tr>
        <w:tc>
          <w:tcPr>
            <w:tcW w:type="dxa" w:w="1152"/>
          </w:tcPr>
          <w:p>
            <w:pPr>
              <w:spacing w:before="40" w:after="40"/>
            </w:pPr>
            <w:r>
              <w:rPr>
                <w:rFonts w:ascii="Times New Roman" w:hAnsi="Times New Roman"/>
                <w:sz w:val="22"/>
              </w:rPr>
              <w:t>4.4</w:t>
            </w:r>
          </w:p>
        </w:tc>
        <w:tc>
          <w:tcPr>
            <w:tcW w:type="dxa" w:w="7200"/>
          </w:tcPr>
          <w:p>
            <w:pPr>
              <w:spacing w:before="40" w:after="40"/>
            </w:pPr>
            <w:r>
              <w:rPr>
                <w:rFonts w:ascii="Times New Roman" w:hAnsi="Times New Roman"/>
                <w:sz w:val="22"/>
              </w:rPr>
              <w:t>System Code Structure, Modules and Core Functions</w:t>
            </w:r>
          </w:p>
        </w:tc>
        <w:tc>
          <w:tcPr>
            <w:tcW w:type="dxa" w:w="1152"/>
          </w:tcPr>
          <w:p>
            <w:pPr>
              <w:spacing w:before="40" w:after="40"/>
              <w:jc w:val="right"/>
            </w:pPr>
            <w:r>
              <w:rPr>
                <w:rFonts w:ascii="Times New Roman" w:hAnsi="Times New Roman"/>
                <w:sz w:val="22"/>
              </w:rPr>
              <w:t>28</w:t>
            </w:r>
          </w:p>
        </w:tc>
      </w:tr>
      <w:tr>
        <w:tc>
          <w:tcPr>
            <w:tcW w:type="dxa" w:w="1152"/>
          </w:tcPr>
          <w:p>
            <w:pPr>
              <w:spacing w:before="40" w:after="40"/>
            </w:pPr>
            <w:r>
              <w:rPr>
                <w:rFonts w:ascii="Times New Roman" w:hAnsi="Times New Roman"/>
                <w:sz w:val="22"/>
              </w:rPr>
              <w:t>5.1</w:t>
            </w:r>
          </w:p>
        </w:tc>
        <w:tc>
          <w:tcPr>
            <w:tcW w:type="dxa" w:w="7200"/>
          </w:tcPr>
          <w:p>
            <w:pPr>
              <w:spacing w:before="40" w:after="40"/>
            </w:pPr>
            <w:r>
              <w:rPr>
                <w:rFonts w:ascii="Times New Roman" w:hAnsi="Times New Roman"/>
                <w:sz w:val="22"/>
              </w:rPr>
              <w:t>Executive Business Intelligence KPI Metrics Summary</w:t>
            </w:r>
          </w:p>
        </w:tc>
        <w:tc>
          <w:tcPr>
            <w:tcW w:type="dxa" w:w="1152"/>
          </w:tcPr>
          <w:p>
            <w:pPr>
              <w:spacing w:before="40" w:after="40"/>
              <w:jc w:val="right"/>
            </w:pPr>
            <w:r>
              <w:rPr>
                <w:rFonts w:ascii="Times New Roman" w:hAnsi="Times New Roman"/>
                <w:sz w:val="22"/>
              </w:rPr>
              <w:t>34</w:t>
            </w:r>
          </w:p>
        </w:tc>
      </w:tr>
      <w:tr>
        <w:tc>
          <w:tcPr>
            <w:tcW w:type="dxa" w:w="1152"/>
          </w:tcPr>
          <w:p>
            <w:pPr>
              <w:spacing w:before="40" w:after="40"/>
            </w:pPr>
            <w:r>
              <w:rPr>
                <w:rFonts w:ascii="Times New Roman" w:hAnsi="Times New Roman"/>
                <w:sz w:val="22"/>
              </w:rPr>
              <w:t>5.2</w:t>
            </w:r>
          </w:p>
        </w:tc>
        <w:tc>
          <w:tcPr>
            <w:tcW w:type="dxa" w:w="7200"/>
          </w:tcPr>
          <w:p>
            <w:pPr>
              <w:spacing w:before="40" w:after="40"/>
            </w:pPr>
            <w:r>
              <w:rPr>
                <w:rFonts w:ascii="Times New Roman" w:hAnsi="Times New Roman"/>
                <w:sz w:val="22"/>
              </w:rPr>
              <w:t>Analytical SQL Aggregation Query Execution Results</w:t>
            </w:r>
          </w:p>
        </w:tc>
        <w:tc>
          <w:tcPr>
            <w:tcW w:type="dxa" w:w="1152"/>
          </w:tcPr>
          <w:p>
            <w:pPr>
              <w:spacing w:before="40" w:after="40"/>
              <w:jc w:val="right"/>
            </w:pPr>
            <w:r>
              <w:rPr>
                <w:rFonts w:ascii="Times New Roman" w:hAnsi="Times New Roman"/>
                <w:sz w:val="22"/>
              </w:rPr>
              <w:t>36</w:t>
            </w:r>
          </w:p>
        </w:tc>
      </w:tr>
      <w:tr>
        <w:tc>
          <w:tcPr>
            <w:tcW w:type="dxa" w:w="1152"/>
          </w:tcPr>
          <w:p>
            <w:pPr>
              <w:spacing w:before="40" w:after="40"/>
            </w:pPr>
            <w:r>
              <w:rPr>
                <w:rFonts w:ascii="Times New Roman" w:hAnsi="Times New Roman"/>
                <w:sz w:val="22"/>
              </w:rPr>
              <w:t>5.3</w:t>
            </w:r>
          </w:p>
        </w:tc>
        <w:tc>
          <w:tcPr>
            <w:tcW w:type="dxa" w:w="7200"/>
          </w:tcPr>
          <w:p>
            <w:pPr>
              <w:spacing w:before="40" w:after="40"/>
            </w:pPr>
            <w:r>
              <w:rPr>
                <w:rFonts w:ascii="Times New Roman" w:hAnsi="Times New Roman"/>
                <w:sz w:val="22"/>
              </w:rPr>
              <w:t>Classification Model Evaluation Metrics (Decision Tree vs. Naive Bayes)</w:t>
            </w:r>
          </w:p>
        </w:tc>
        <w:tc>
          <w:tcPr>
            <w:tcW w:type="dxa" w:w="1152"/>
          </w:tcPr>
          <w:p>
            <w:pPr>
              <w:spacing w:before="40" w:after="40"/>
              <w:jc w:val="right"/>
            </w:pPr>
            <w:r>
              <w:rPr>
                <w:rFonts w:ascii="Times New Roman" w:hAnsi="Times New Roman"/>
                <w:sz w:val="22"/>
              </w:rPr>
              <w:t>38</w:t>
            </w:r>
          </w:p>
        </w:tc>
      </w:tr>
      <w:tr>
        <w:tc>
          <w:tcPr>
            <w:tcW w:type="dxa" w:w="1152"/>
          </w:tcPr>
          <w:p>
            <w:pPr>
              <w:spacing w:before="40" w:after="40"/>
            </w:pPr>
            <w:r>
              <w:rPr>
                <w:rFonts w:ascii="Times New Roman" w:hAnsi="Times New Roman"/>
                <w:sz w:val="22"/>
              </w:rPr>
              <w:t>5.4</w:t>
            </w:r>
          </w:p>
        </w:tc>
        <w:tc>
          <w:tcPr>
            <w:tcW w:type="dxa" w:w="7200"/>
          </w:tcPr>
          <w:p>
            <w:pPr>
              <w:spacing w:before="40" w:after="40"/>
            </w:pPr>
            <w:r>
              <w:rPr>
                <w:rFonts w:ascii="Times New Roman" w:hAnsi="Times New Roman"/>
                <w:sz w:val="22"/>
              </w:rPr>
              <w:t>K-Means Customer Segmentation Summary and Behavioral Profiles</w:t>
            </w:r>
          </w:p>
        </w:tc>
        <w:tc>
          <w:tcPr>
            <w:tcW w:type="dxa" w:w="1152"/>
          </w:tcPr>
          <w:p>
            <w:pPr>
              <w:spacing w:before="40" w:after="40"/>
              <w:jc w:val="right"/>
            </w:pPr>
            <w:r>
              <w:rPr>
                <w:rFonts w:ascii="Times New Roman" w:hAnsi="Times New Roman"/>
                <w:sz w:val="22"/>
              </w:rPr>
              <w:t>39</w:t>
            </w:r>
          </w:p>
        </w:tc>
      </w:tr>
      <w:tr>
        <w:tc>
          <w:tcPr>
            <w:tcW w:type="dxa" w:w="1152"/>
          </w:tcPr>
          <w:p>
            <w:pPr>
              <w:spacing w:before="40" w:after="40"/>
            </w:pPr>
            <w:r>
              <w:rPr>
                <w:rFonts w:ascii="Times New Roman" w:hAnsi="Times New Roman"/>
                <w:sz w:val="22"/>
              </w:rPr>
              <w:t>5.5</w:t>
            </w:r>
          </w:p>
        </w:tc>
        <w:tc>
          <w:tcPr>
            <w:tcW w:type="dxa" w:w="7200"/>
          </w:tcPr>
          <w:p>
            <w:pPr>
              <w:spacing w:before="40" w:after="40"/>
            </w:pPr>
            <w:r>
              <w:rPr>
                <w:rFonts w:ascii="Times New Roman" w:hAnsi="Times New Roman"/>
                <w:sz w:val="22"/>
              </w:rPr>
              <w:t>Apriori Association Rules Discovered from Customer Transactions</w:t>
            </w:r>
          </w:p>
        </w:tc>
        <w:tc>
          <w:tcPr>
            <w:tcW w:type="dxa" w:w="1152"/>
          </w:tcPr>
          <w:p>
            <w:pPr>
              <w:spacing w:before="40" w:after="40"/>
              <w:jc w:val="right"/>
            </w:pPr>
            <w:r>
              <w:rPr>
                <w:rFonts w:ascii="Times New Roman" w:hAnsi="Times New Roman"/>
                <w:sz w:val="22"/>
              </w:rPr>
              <w:t>40</w:t>
            </w:r>
          </w:p>
        </w:tc>
      </w:tr>
    </w:tbl>
    <w:p>
      <w:r>
        <w:br w:type="page"/>
      </w:r>
    </w:p>
    <w:p>
      <w:pPr>
        <w:spacing w:before="3600"/>
        <w:jc w:val="center"/>
      </w:pPr>
      <w:r>
        <w:rPr>
          <w:rFonts w:ascii="Times New Roman" w:hAnsi="Times New Roman"/>
          <w:b/>
          <w:sz w:val="36"/>
        </w:rPr>
        <w:t>CHAPTER 1</w:t>
        <w:br/>
        <w:br/>
        <w:t>INTRODUCTION</w:t>
      </w:r>
    </w:p>
    <w:p>
      <w:r>
        <w:br w:type="page"/>
      </w:r>
    </w:p>
    <w:p>
      <w:pPr>
        <w:jc w:val="center"/>
      </w:pPr>
      <w:r>
        <w:rPr>
          <w:rFonts w:ascii="Times New Roman" w:hAnsi="Times New Roman"/>
          <w:sz w:val="22"/>
        </w:rPr>
        <w:t>2</w:t>
        <w:br/>
      </w:r>
    </w:p>
    <w:p>
      <w:pPr>
        <w:keepNext/>
        <w:spacing w:before="200" w:after="300"/>
      </w:pPr>
      <w:r>
        <w:rPr>
          <w:rFonts w:ascii="Times New Roman" w:hAnsi="Times New Roman"/>
          <w:b/>
          <w:color w:val="2C3E50"/>
          <w:sz w:val="32"/>
        </w:rPr>
        <w:t>INTRODUCTION</w:t>
      </w:r>
    </w:p>
    <w:p>
      <w:pPr>
        <w:spacing w:before="0" w:after="120" w:line="276" w:lineRule="auto"/>
        <w:jc w:val="both"/>
      </w:pPr>
      <w:r>
        <w:rPr>
          <w:rFonts w:ascii="Times New Roman" w:hAnsi="Times New Roman"/>
          <w:b w:val="0"/>
          <w:i w:val="0"/>
          <w:color w:val="000000"/>
          <w:sz w:val="24"/>
        </w:rPr>
        <w:t>Data Warehousing and Data Mining represent the backbone of contemporary corporate intelligence, transforming raw transactional enterprise records into strategic assets. In recent years, the retail and dropshipping marketplace paradigm has witnessed exponential growth due to digital commerce expansion. A dropshipping marketplace acts as an operational intermediary connecting retail customers, third-party logistics, local suppliers, and diverse product inventories. However, as order volumes surge and product catalogs expand, traditional Online Transaction Processing (OLTP) relational databases face severe performance bottlenecks when tasked with analytical reporting, aggregated KPI computation, and multi-year trend forecasting.</w:t>
      </w:r>
    </w:p>
    <w:p>
      <w:pPr>
        <w:spacing w:before="0" w:after="120" w:line="276" w:lineRule="auto"/>
        <w:jc w:val="both"/>
      </w:pPr>
      <w:r>
        <w:rPr>
          <w:rFonts w:ascii="Times New Roman" w:hAnsi="Times New Roman"/>
          <w:b w:val="0"/>
          <w:i w:val="0"/>
          <w:color w:val="000000"/>
          <w:sz w:val="24"/>
        </w:rPr>
        <w:t>OLTP databases are architected specifically to maximize transaction throughput, ensure ACID (Atomicity, Consistency, Isolation, Durability) compliance, and eliminate insert/update anomalies through highly normalized relational structures (typically Third Normal Form, 3NF). While optimal for processing high-frequency single-row transactions, normalized tables require computationally expensive multi-table JOIN operations when answering management questions such as total quarterly profitability by supplier rating, customer lifetime value segments, or product cross-sell propensities. In contrast, Online Analytical Processing (OLAP) and Data Warehouse Management (DWM) systems utilize dimensional modeling techniques—most notably the Star Schema and Snowflake Schema—to denormalize data into intuitive fact and dimension structures optimized for read-heavy analytical querying.</w:t>
      </w:r>
    </w:p>
    <w:p>
      <w:pPr>
        <w:spacing w:before="0" w:after="120" w:line="276" w:lineRule="auto"/>
        <w:jc w:val="both"/>
      </w:pPr>
      <w:r>
        <w:rPr>
          <w:rFonts w:ascii="Times New Roman" w:hAnsi="Times New Roman"/>
          <w:b w:val="0"/>
          <w:i w:val="0"/>
          <w:color w:val="000000"/>
          <w:sz w:val="24"/>
        </w:rPr>
        <w:t>The LocalDrop project bridges this critical operational-analytical divide by establishing an end-to-end Data Warehouse and Data Mining architecture for a local supplier dropshipping marketplace. By coupling a relational operational source with automated data preprocessing, a robust Python-based Extract-Transform-Load (ETL) pipeline, conformed dimensional schemas, analytical SQL querying, and machine learning models (Supervised Classification, K-Means Clustering, and Apriori Association Rule Mining), LocalDrop demonstrates how academic concepts of data engineering translate into practical decision-support systems.</w:t>
      </w:r>
    </w:p>
    <w:p>
      <w:pPr>
        <w:keepNext/>
        <w:spacing w:before="320" w:after="160"/>
      </w:pPr>
      <w:r>
        <w:rPr>
          <w:rFonts w:ascii="Times New Roman" w:hAnsi="Times New Roman"/>
          <w:b/>
          <w:color w:val="2C3E50"/>
          <w:sz w:val="26"/>
        </w:rPr>
        <w:t>1.1 Problem Statement</w:t>
      </w:r>
    </w:p>
    <w:p>
      <w:pPr>
        <w:spacing w:before="0" w:after="120" w:line="276" w:lineRule="auto"/>
        <w:jc w:val="both"/>
      </w:pPr>
      <w:r>
        <w:rPr>
          <w:rFonts w:ascii="Times New Roman" w:hAnsi="Times New Roman"/>
          <w:b w:val="0"/>
          <w:i w:val="0"/>
          <w:color w:val="000000"/>
          <w:sz w:val="24"/>
        </w:rPr>
        <w:t>Conventional local dropshipping platforms suffer from fragmented, siloed data storage where transactional records are trapped in operational tables without automated analytical aggregation. Specifically, platform administrators and local suppliers face three fundamental operational challenges:</w:t>
      </w:r>
    </w:p>
    <w:p>
      <w:pPr>
        <w:pStyle w:val="ListBullet"/>
        <w:spacing w:before="0" w:after="80" w:line="276" w:lineRule="auto"/>
        <w:jc w:val="both"/>
      </w:pPr>
      <w:r>
        <w:rPr>
          <w:rFonts w:ascii="Times New Roman" w:hAnsi="Times New Roman"/>
          <w:b/>
          <w:color w:val="000000"/>
          <w:sz w:val="24"/>
        </w:rPr>
        <w:t xml:space="preserve">Query Latency and Resource Contention: </w:t>
      </w:r>
      <w:r>
        <w:rPr>
          <w:rFonts w:ascii="Times New Roman" w:hAnsi="Times New Roman"/>
          <w:color w:val="000000"/>
          <w:sz w:val="24"/>
        </w:rPr>
        <w:t>Executing complex analytical aggregations and historical reporting directly against live operational databases exhausts system memory and locks transaction tables, degrading customer checkout experiences.</w:t>
      </w:r>
    </w:p>
    <w:p>
      <w:pPr>
        <w:pStyle w:val="ListBullet"/>
        <w:spacing w:before="0" w:after="80" w:line="276" w:lineRule="auto"/>
        <w:jc w:val="both"/>
      </w:pPr>
      <w:r>
        <w:rPr>
          <w:rFonts w:ascii="Times New Roman" w:hAnsi="Times New Roman"/>
          <w:b/>
          <w:color w:val="000000"/>
          <w:sz w:val="24"/>
        </w:rPr>
        <w:t xml:space="preserve">Absence of Unified Multidimensional Metrics: </w:t>
      </w:r>
      <w:r>
        <w:rPr>
          <w:rFonts w:ascii="Times New Roman" w:hAnsi="Times New Roman"/>
          <w:color w:val="000000"/>
          <w:sz w:val="24"/>
        </w:rPr>
        <w:t>Operational tables scatter customer demographics, supplier ratings, order statuses, and profit margins across disparate entities, preventing stakeholders from gaining a 360-degree perspective of marketplace health.</w:t>
      </w:r>
    </w:p>
    <w:p>
      <w:pPr>
        <w:pStyle w:val="ListBullet"/>
        <w:spacing w:before="0" w:after="80" w:line="276" w:lineRule="auto"/>
        <w:jc w:val="both"/>
      </w:pPr>
      <w:r>
        <w:rPr>
          <w:rFonts w:ascii="Times New Roman" w:hAnsi="Times New Roman"/>
          <w:b/>
          <w:color w:val="000000"/>
          <w:sz w:val="24"/>
        </w:rPr>
        <w:t xml:space="preserve">Lack of Automated Predictive &amp; Association Intelligence: </w:t>
      </w:r>
      <w:r>
        <w:rPr>
          <w:rFonts w:ascii="Times New Roman" w:hAnsi="Times New Roman"/>
          <w:color w:val="000000"/>
          <w:sz w:val="24"/>
        </w:rPr>
        <w:t>Local suppliers lack predictive models to anticipate order profitability, algorithmic segmentation to identify high-value customer clusters, and basket association rules to optimize localized inventory bundling.</w:t>
      </w:r>
    </w:p>
    <w:p>
      <w:pPr>
        <w:keepNext/>
        <w:spacing w:before="320" w:after="160"/>
      </w:pPr>
      <w:r>
        <w:rPr>
          <w:rFonts w:ascii="Times New Roman" w:hAnsi="Times New Roman"/>
          <w:b/>
          <w:color w:val="2C3E50"/>
          <w:sz w:val="26"/>
        </w:rPr>
        <w:t>1.2 Scope</w:t>
      </w:r>
    </w:p>
    <w:p>
      <w:pPr>
        <w:spacing w:before="0" w:after="120" w:line="276" w:lineRule="auto"/>
        <w:jc w:val="both"/>
      </w:pPr>
      <w:r>
        <w:rPr>
          <w:rFonts w:ascii="Times New Roman" w:hAnsi="Times New Roman"/>
          <w:b w:val="0"/>
          <w:i w:val="0"/>
          <w:color w:val="000000"/>
          <w:sz w:val="24"/>
        </w:rPr>
        <w:t>The scope of the LocalDrop mini-project encompasses the architectural design, algorithmic implementation, and empirical evaluation of an academic Data Warehouse and Business Intelligence platform. Key inclusions and boundaries include:</w:t>
      </w:r>
    </w:p>
    <w:p>
      <w:pPr>
        <w:pStyle w:val="ListBullet"/>
        <w:spacing w:before="0" w:after="80" w:line="276" w:lineRule="auto"/>
        <w:jc w:val="both"/>
      </w:pPr>
      <w:r>
        <w:rPr>
          <w:rFonts w:ascii="Times New Roman" w:hAnsi="Times New Roman"/>
          <w:b/>
          <w:color w:val="000000"/>
          <w:sz w:val="24"/>
        </w:rPr>
        <w:t xml:space="preserve">Operational OLTP Modeling: </w:t>
      </w:r>
      <w:r>
        <w:rPr>
          <w:rFonts w:ascii="Times New Roman" w:hAnsi="Times New Roman"/>
          <w:color w:val="000000"/>
          <w:sz w:val="24"/>
        </w:rPr>
        <w:t>Design and synthesis of normalized operational tables (CUSTOMERS, SUPPLIERS, PRODUCTS, ORDERS, and SALES) reflecting realistic Indian regional commerce denominated in INR (₹).</w:t>
      </w:r>
    </w:p>
    <w:p>
      <w:pPr>
        <w:pStyle w:val="ListBullet"/>
        <w:spacing w:before="0" w:after="80" w:line="276" w:lineRule="auto"/>
        <w:jc w:val="both"/>
      </w:pPr>
      <w:r>
        <w:rPr>
          <w:rFonts w:ascii="Times New Roman" w:hAnsi="Times New Roman"/>
          <w:b/>
          <w:color w:val="000000"/>
          <w:sz w:val="24"/>
        </w:rPr>
        <w:t xml:space="preserve">Automated ETL Pipeline: </w:t>
      </w:r>
      <w:r>
        <w:rPr>
          <w:rFonts w:ascii="Times New Roman" w:hAnsi="Times New Roman"/>
          <w:color w:val="000000"/>
          <w:sz w:val="24"/>
        </w:rPr>
        <w:t>Development of robust data preprocessing and ETL routines using Python Pandas to cleanse null values, filter range anomalies, standardize date dimensions, and enforce surrogate key conformity.</w:t>
      </w:r>
    </w:p>
    <w:p>
      <w:pPr>
        <w:pStyle w:val="ListBullet"/>
        <w:spacing w:before="0" w:after="80" w:line="276" w:lineRule="auto"/>
        <w:jc w:val="both"/>
      </w:pPr>
      <w:r>
        <w:rPr>
          <w:rFonts w:ascii="Times New Roman" w:hAnsi="Times New Roman"/>
          <w:b/>
          <w:color w:val="000000"/>
          <w:sz w:val="24"/>
        </w:rPr>
        <w:t xml:space="preserve">Dual Multidimensional Architectures: </w:t>
      </w:r>
      <w:r>
        <w:rPr>
          <w:rFonts w:ascii="Times New Roman" w:hAnsi="Times New Roman"/>
          <w:color w:val="000000"/>
          <w:sz w:val="24"/>
        </w:rPr>
        <w:t>Implementation and comparative evaluation of both a Star Schema (denormalized dimensions surrounding FACT_SALES) and a Snowflake Schema (normalized product category hierarchy).</w:t>
      </w:r>
    </w:p>
    <w:p>
      <w:pPr>
        <w:pStyle w:val="ListBullet"/>
        <w:spacing w:before="0" w:after="80" w:line="276" w:lineRule="auto"/>
        <w:jc w:val="both"/>
      </w:pPr>
      <w:r>
        <w:rPr>
          <w:rFonts w:ascii="Times New Roman" w:hAnsi="Times New Roman"/>
          <w:b/>
          <w:color w:val="000000"/>
          <w:sz w:val="24"/>
        </w:rPr>
        <w:t xml:space="preserve">Analytical SQL Engine: </w:t>
      </w:r>
      <w:r>
        <w:rPr>
          <w:rFonts w:ascii="Times New Roman" w:hAnsi="Times New Roman"/>
          <w:color w:val="000000"/>
          <w:sz w:val="24"/>
        </w:rPr>
        <w:t>Formulation and automated execution of ten essential business queries spanning revenue growth, top-selling products, category contribution, supplier rankings, and logistics status distribution.</w:t>
      </w:r>
    </w:p>
    <w:p>
      <w:pPr>
        <w:pStyle w:val="ListBullet"/>
        <w:spacing w:before="0" w:after="80" w:line="276" w:lineRule="auto"/>
        <w:jc w:val="both"/>
      </w:pPr>
      <w:r>
        <w:rPr>
          <w:rFonts w:ascii="Times New Roman" w:hAnsi="Times New Roman"/>
          <w:b/>
          <w:color w:val="000000"/>
          <w:sz w:val="24"/>
        </w:rPr>
        <w:t xml:space="preserve">Machine Learning &amp; Knowledge Discovery: </w:t>
      </w:r>
      <w:r>
        <w:rPr>
          <w:rFonts w:ascii="Times New Roman" w:hAnsi="Times New Roman"/>
          <w:color w:val="000000"/>
          <w:sz w:val="24"/>
        </w:rPr>
        <w:t>Deployment of Decision Tree and Naive Bayes classifiers for profit margin prediction, K-Means clustering for customer segmentation, and Apriori association mining for product affinity discovery.</w:t>
      </w:r>
    </w:p>
    <w:p>
      <w:pPr>
        <w:pStyle w:val="ListBullet"/>
        <w:spacing w:before="0" w:after="80" w:line="276" w:lineRule="auto"/>
        <w:jc w:val="both"/>
      </w:pPr>
      <w:r>
        <w:rPr>
          <w:rFonts w:ascii="Times New Roman" w:hAnsi="Times New Roman"/>
          <w:b/>
          <w:color w:val="000000"/>
          <w:sz w:val="24"/>
        </w:rPr>
        <w:t xml:space="preserve">Exclusions: </w:t>
      </w:r>
      <w:r>
        <w:rPr>
          <w:rFonts w:ascii="Times New Roman" w:hAnsi="Times New Roman"/>
          <w:color w:val="000000"/>
          <w:sz w:val="24"/>
        </w:rPr>
        <w:t>In strict adherence to the academic DWM mini-project scope, this platform intentionally excludes customer-facing checkout gateways, shopping carts, authentication OTPs, and third-party payment gateways, focusing purely on administrative business intelligence.</w:t>
      </w:r>
    </w:p>
    <w:p>
      <w:pPr>
        <w:keepNext/>
        <w:spacing w:before="320" w:after="160"/>
      </w:pPr>
      <w:r>
        <w:rPr>
          <w:rFonts w:ascii="Times New Roman" w:hAnsi="Times New Roman"/>
          <w:b/>
          <w:color w:val="2C3E50"/>
          <w:sz w:val="26"/>
        </w:rPr>
        <w:t>1.3 Motivation</w:t>
      </w:r>
    </w:p>
    <w:p>
      <w:pPr>
        <w:spacing w:before="0" w:after="120" w:line="276" w:lineRule="auto"/>
        <w:jc w:val="both"/>
      </w:pPr>
      <w:r>
        <w:rPr>
          <w:rFonts w:ascii="Times New Roman" w:hAnsi="Times New Roman"/>
          <w:b w:val="0"/>
          <w:i w:val="0"/>
          <w:color w:val="000000"/>
          <w:sz w:val="24"/>
        </w:rPr>
        <w:t>The motivation driving LocalDrop stems from the realization that small and medium regional suppliers in India are frequently marginalized on massive e-commerce conglomerates due to opaque algorithmic ranking and prohibitive platform fees. Empowering local supplier collectives requires transparent, localized intelligence where suppliers can directly observe sales trends, measure net margins, identify frequent co-purchase bundles, and align inventory with seasonal demand. From an engineering and academic perspective, this project provides rigorous hands-on exposure to Ralph Kimball’s dimensional modeling methodologies, Bill Inmon’s corporate information factory concepts, ETL pipeline architecture, and practical machine learning integration within an interactive Flask web environment.</w:t>
      </w:r>
    </w:p>
    <w:p>
      <w:r>
        <w:br w:type="page"/>
      </w:r>
    </w:p>
    <w:p>
      <w:pPr>
        <w:spacing w:before="3600"/>
        <w:jc w:val="center"/>
      </w:pPr>
      <w:r>
        <w:rPr>
          <w:rFonts w:ascii="Times New Roman" w:hAnsi="Times New Roman"/>
          <w:b/>
          <w:sz w:val="36"/>
        </w:rPr>
        <w:t>CHAPTER 2</w:t>
        <w:br/>
        <w:br/>
        <w:t>LITERATURE SURVEY</w:t>
      </w:r>
    </w:p>
    <w:p>
      <w:r>
        <w:br w:type="page"/>
      </w:r>
    </w:p>
    <w:p>
      <w:pPr>
        <w:jc w:val="center"/>
      </w:pPr>
      <w:r>
        <w:rPr>
          <w:rFonts w:ascii="Times New Roman" w:hAnsi="Times New Roman"/>
          <w:sz w:val="22"/>
        </w:rPr>
        <w:t>5</w:t>
        <w:br/>
      </w:r>
    </w:p>
    <w:p>
      <w:pPr>
        <w:keepNext/>
        <w:spacing w:before="200" w:after="300"/>
      </w:pPr>
      <w:r>
        <w:rPr>
          <w:rFonts w:ascii="Times New Roman" w:hAnsi="Times New Roman"/>
          <w:b/>
          <w:color w:val="2C3E50"/>
          <w:sz w:val="32"/>
        </w:rPr>
        <w:t>LITERATURE SURVEY</w:t>
      </w:r>
    </w:p>
    <w:p>
      <w:pPr>
        <w:spacing w:before="0" w:after="120" w:line="276" w:lineRule="auto"/>
        <w:jc w:val="both"/>
      </w:pPr>
      <w:r>
        <w:rPr>
          <w:rFonts w:ascii="Times New Roman" w:hAnsi="Times New Roman"/>
          <w:b w:val="0"/>
          <w:i w:val="0"/>
          <w:color w:val="000000"/>
          <w:sz w:val="24"/>
        </w:rPr>
        <w:t>The foundational concepts of data warehousing, multidimensional modeling, and business intelligence have evolved over several decades of academic research and industrial implementation. In their seminal works, Ralph Kimball and Margy Ross (2013) established the dimensional modeling methodology, arguing that relational databases configured as Star Schemas provide the most performant, human-understandable representation for analytical queries. Conversely, W. H. Inmon (2005) advocated for the Corporate Information Factory (CIF) architecture, emphasizing normalized enterprise data models that feed localized data marts. Recent empirical studies in retail analytics have analyzed the trade-offs between normalized Snowflake Schemas and denormalized Star Schemas, demonstrating that while Snowflake schemas minimize data redundancy, Star schemas consistently yield superior execution speeds for online aggregations due to reduced table join complexity.</w:t>
      </w:r>
    </w:p>
    <w:p>
      <w:pPr>
        <w:spacing w:before="0" w:after="120" w:line="276" w:lineRule="auto"/>
        <w:jc w:val="both"/>
      </w:pPr>
      <w:r>
        <w:rPr>
          <w:rFonts w:ascii="Times New Roman" w:hAnsi="Times New Roman"/>
          <w:b w:val="0"/>
          <w:i w:val="0"/>
          <w:color w:val="000000"/>
          <w:sz w:val="24"/>
        </w:rPr>
        <w:t>In the domain of automated data processing, Vassiliadis et al. (2002) conceptualized ETL processes as directed graphs of transformation activities, identifying that data cleansing—specifically missing-value imputation, outlier removal, and schema alignment—constitutes over 70% of the effort in data warehousing implementations. In retail machine learning, Han, Kamber, and Pei (2011) systematically documented unsupervised clustering and association rule mining paradigms. MacQueen (1967) introduced K-Means clustering, which has become the gold standard for behavioral customer segmentation based on purchase frequency and monetary value (RFM analysis). Concurrently, Agrawal and Srikant (1994) developed the Apriori algorithm for fast discovery of association rules in transaction databases, enabling market basket analysis that exposes hidden cross-selling relationships. Table 2.1 presents a comprehensive comparative analysis of pivotal literature surveyed during the architectural formulation of the LocalDrop project.</w:t>
      </w:r>
    </w:p>
    <w:p>
      <w:pPr>
        <w:keepNext/>
        <w:spacing w:before="300" w:after="120"/>
      </w:pPr>
      <w:r>
        <w:rPr>
          <w:rFonts w:ascii="Times New Roman" w:hAnsi="Times New Roman"/>
          <w:b/>
          <w:sz w:val="22"/>
        </w:rPr>
        <w:t>Table 2.1: Comparison of Literature Surveyed</w:t>
      </w:r>
    </w:p>
    <w:tbl>
      <w:tblPr>
        <w:tblW w:type="auto" w:w="0"/>
        <w:jc w:val="center"/>
        <w:tblLook w:firstColumn="1" w:firstRow="1" w:lastColumn="0" w:lastRow="0" w:noHBand="0" w:noVBand="1" w:val="04A0"/>
      </w:tblPr>
      <w:tblGrid>
        <w:gridCol w:w="2185"/>
        <w:gridCol w:w="2185"/>
        <w:gridCol w:w="2185"/>
        <w:gridCol w:w="2185"/>
      </w:tblGrid>
      <w:tr>
        <w:trPr>
          <w:cantSplit/>
          <w:tblHeader/>
        </w:trPr>
        <w:tc>
          <w:tcPr>
            <w:tcW w:type="dxa" w:w="2592"/>
            <w:tcMar>
              <w:top w:w="120" w:type="dxa"/>
              <w:bottom w:w="120" w:type="dxa"/>
              <w:left w:w="150" w:type="dxa"/>
              <w:right w:w="150" w:type="dxa"/>
            </w:tcMar>
            <w:shd w:fill="2C3E50"/>
          </w:tcPr>
          <w:p>
            <w:pPr>
              <w:jc w:val="center"/>
            </w:pPr>
            <w:r>
              <w:t>Title of Paper and Authors</w:t>
            </w:r>
          </w:p>
        </w:tc>
        <w:tc>
          <w:tcPr>
            <w:tcW w:type="dxa" w:w="2592"/>
            <w:tcMar>
              <w:top w:w="120" w:type="dxa"/>
              <w:bottom w:w="120" w:type="dxa"/>
              <w:left w:w="150" w:type="dxa"/>
              <w:right w:w="150" w:type="dxa"/>
            </w:tcMar>
            <w:shd w:fill="2C3E50"/>
          </w:tcPr>
          <w:p>
            <w:pPr>
              <w:jc w:val="center"/>
            </w:pPr>
            <w:r>
              <w:t>Features</w:t>
            </w:r>
          </w:p>
        </w:tc>
        <w:tc>
          <w:tcPr>
            <w:tcW w:type="dxa" w:w="2592"/>
            <w:tcMar>
              <w:top w:w="120" w:type="dxa"/>
              <w:bottom w:w="120" w:type="dxa"/>
              <w:left w:w="150" w:type="dxa"/>
              <w:right w:w="150" w:type="dxa"/>
            </w:tcMar>
            <w:shd w:fill="2C3E50"/>
          </w:tcPr>
          <w:p>
            <w:pPr>
              <w:jc w:val="center"/>
            </w:pPr>
            <w:r>
              <w:t>Limitations</w:t>
            </w:r>
          </w:p>
        </w:tc>
        <w:tc>
          <w:tcPr>
            <w:tcW w:type="dxa" w:w="2592"/>
            <w:tcMar>
              <w:top w:w="120" w:type="dxa"/>
              <w:bottom w:w="120" w:type="dxa"/>
              <w:left w:w="150" w:type="dxa"/>
              <w:right w:w="150" w:type="dxa"/>
            </w:tcMar>
            <w:shd w:fill="2C3E50"/>
          </w:tcPr>
          <w:p>
            <w:pPr>
              <w:jc w:val="center"/>
            </w:pPr>
            <w:r>
              <w:t>Overcome in LocalDrop</w:t>
            </w:r>
          </w:p>
        </w:tc>
      </w:tr>
      <w:tr>
        <w:trPr>
          <w:cantSplit/>
        </w:trPr>
        <w:tc>
          <w:tcPr>
            <w:tcW w:type="dxa" w:w="2592"/>
            <w:tcMar>
              <w:top w:w="120" w:type="dxa"/>
              <w:bottom w:w="120" w:type="dxa"/>
              <w:left w:w="150" w:type="dxa"/>
              <w:right w:w="150" w:type="dxa"/>
            </w:tcMar>
            <w:shd w:fill="F8F9FA"/>
          </w:tcPr>
          <w:p>
            <w:pPr>
              <w:jc w:val="left"/>
            </w:pPr>
            <w:r>
              <w:t>1. The Data Warehouse Toolkit, R. Kimball &amp; M. Ross (2013)</w:t>
            </w:r>
          </w:p>
        </w:tc>
        <w:tc>
          <w:tcPr>
            <w:tcW w:type="dxa" w:w="2592"/>
            <w:tcMar>
              <w:top w:w="120" w:type="dxa"/>
              <w:bottom w:w="120" w:type="dxa"/>
              <w:left w:w="150" w:type="dxa"/>
              <w:right w:w="150" w:type="dxa"/>
            </w:tcMar>
            <w:shd w:fill="F8F9FA"/>
          </w:tcPr>
          <w:p>
            <w:pPr>
              <w:jc w:val="both"/>
            </w:pPr>
            <w:r>
              <w:t>Comprehensive guide on dimensional modeling, conformed dimensions, surrogate keys, and Star Schema design principles.</w:t>
            </w:r>
          </w:p>
        </w:tc>
        <w:tc>
          <w:tcPr>
            <w:tcW w:type="dxa" w:w="2592"/>
            <w:tcMar>
              <w:top w:w="120" w:type="dxa"/>
              <w:bottom w:w="120" w:type="dxa"/>
              <w:left w:w="150" w:type="dxa"/>
              <w:right w:w="150" w:type="dxa"/>
            </w:tcMar>
            <w:shd w:fill="F8F9FA"/>
          </w:tcPr>
          <w:p>
            <w:pPr>
              <w:jc w:val="both"/>
            </w:pPr>
            <w:r>
              <w:t>Focuses heavily on business concepts; lacks automated Python ETL implementation routines.</w:t>
            </w:r>
          </w:p>
        </w:tc>
        <w:tc>
          <w:tcPr>
            <w:tcW w:type="dxa" w:w="2592"/>
            <w:tcMar>
              <w:top w:w="120" w:type="dxa"/>
              <w:bottom w:w="120" w:type="dxa"/>
              <w:left w:w="150" w:type="dxa"/>
              <w:right w:w="150" w:type="dxa"/>
            </w:tcMar>
            <w:shd w:fill="F8F9FA"/>
          </w:tcPr>
          <w:p>
            <w:pPr>
              <w:jc w:val="both"/>
            </w:pPr>
            <w:r>
              <w:t>LocalDrop applies Kimball's star design directly with automated Pandas ETL pipeline.</w:t>
            </w:r>
          </w:p>
        </w:tc>
      </w:tr>
      <w:tr>
        <w:trPr>
          <w:cantSplit/>
        </w:trPr>
        <w:tc>
          <w:tcPr>
            <w:tcW w:type="dxa" w:w="2592"/>
            <w:tcMar>
              <w:top w:w="120" w:type="dxa"/>
              <w:bottom w:w="120" w:type="dxa"/>
              <w:left w:w="150" w:type="dxa"/>
              <w:right w:w="150" w:type="dxa"/>
            </w:tcMar>
            <w:shd w:fill="FFFFFF"/>
          </w:tcPr>
          <w:p>
            <w:pPr>
              <w:jc w:val="left"/>
            </w:pPr>
            <w:r>
              <w:t>2. Building the Data Warehouse, W. H. Inmon (2005)</w:t>
            </w:r>
          </w:p>
        </w:tc>
        <w:tc>
          <w:tcPr>
            <w:tcW w:type="dxa" w:w="2592"/>
            <w:tcMar>
              <w:top w:w="120" w:type="dxa"/>
              <w:bottom w:w="120" w:type="dxa"/>
              <w:left w:w="150" w:type="dxa"/>
              <w:right w:w="150" w:type="dxa"/>
            </w:tcMar>
            <w:shd w:fill="FFFFFF"/>
          </w:tcPr>
          <w:p>
            <w:pPr>
              <w:jc w:val="both"/>
            </w:pPr>
            <w:r>
              <w:t>Establishes Corporate Information Factory, centralized enterprise repository, and normalized 3NF warehouse layers.</w:t>
            </w:r>
          </w:p>
        </w:tc>
        <w:tc>
          <w:tcPr>
            <w:tcW w:type="dxa" w:w="2592"/>
            <w:tcMar>
              <w:top w:w="120" w:type="dxa"/>
              <w:bottom w:w="120" w:type="dxa"/>
              <w:left w:w="150" w:type="dxa"/>
              <w:right w:w="150" w:type="dxa"/>
            </w:tcMar>
            <w:shd w:fill="FFFFFF"/>
          </w:tcPr>
          <w:p>
            <w:pPr>
              <w:jc w:val="both"/>
            </w:pPr>
            <w:r>
              <w:t>Normalized schema results in high join overhead for rapid web dashboard queries.</w:t>
            </w:r>
          </w:p>
        </w:tc>
        <w:tc>
          <w:tcPr>
            <w:tcW w:type="dxa" w:w="2592"/>
            <w:tcMar>
              <w:top w:w="120" w:type="dxa"/>
              <w:bottom w:w="120" w:type="dxa"/>
              <w:left w:w="150" w:type="dxa"/>
              <w:right w:w="150" w:type="dxa"/>
            </w:tcMar>
            <w:shd w:fill="FFFFFF"/>
          </w:tcPr>
          <w:p>
            <w:pPr>
              <w:jc w:val="both"/>
            </w:pPr>
            <w:r>
              <w:t>Adopted normalized concepts for operational OLTP layer and Snowflake product hierarchy.</w:t>
            </w:r>
          </w:p>
        </w:tc>
      </w:tr>
      <w:tr>
        <w:trPr>
          <w:cantSplit/>
        </w:trPr>
        <w:tc>
          <w:tcPr>
            <w:tcW w:type="dxa" w:w="2592"/>
            <w:tcMar>
              <w:top w:w="120" w:type="dxa"/>
              <w:bottom w:w="120" w:type="dxa"/>
              <w:left w:w="150" w:type="dxa"/>
              <w:right w:w="150" w:type="dxa"/>
            </w:tcMar>
            <w:shd w:fill="F8F9FA"/>
          </w:tcPr>
          <w:p>
            <w:pPr>
              <w:jc w:val="left"/>
            </w:pPr>
            <w:r>
              <w:t>3. Conceptual Modeling for ETL Processes, P. Vassiliadis et al. (2002)</w:t>
            </w:r>
          </w:p>
        </w:tc>
        <w:tc>
          <w:tcPr>
            <w:tcW w:type="dxa" w:w="2592"/>
            <w:tcMar>
              <w:top w:w="120" w:type="dxa"/>
              <w:bottom w:w="120" w:type="dxa"/>
              <w:left w:w="150" w:type="dxa"/>
              <w:right w:w="150" w:type="dxa"/>
            </w:tcMar>
            <w:shd w:fill="F8F9FA"/>
          </w:tcPr>
          <w:p>
            <w:pPr>
              <w:jc w:val="both"/>
            </w:pPr>
            <w:r>
              <w:t>Formal graph-based framework for modeling data extraction, transformation, filtering, and warehouse loading.</w:t>
            </w:r>
          </w:p>
        </w:tc>
        <w:tc>
          <w:tcPr>
            <w:tcW w:type="dxa" w:w="2592"/>
            <w:tcMar>
              <w:top w:w="120" w:type="dxa"/>
              <w:bottom w:w="120" w:type="dxa"/>
              <w:left w:w="150" w:type="dxa"/>
              <w:right w:w="150" w:type="dxa"/>
            </w:tcMar>
            <w:shd w:fill="F8F9FA"/>
          </w:tcPr>
          <w:p>
            <w:pPr>
              <w:jc w:val="both"/>
            </w:pPr>
            <w:r>
              <w:t>Theoretical framework without open-source database execution benchmarks.</w:t>
            </w:r>
          </w:p>
        </w:tc>
        <w:tc>
          <w:tcPr>
            <w:tcW w:type="dxa" w:w="2592"/>
            <w:tcMar>
              <w:top w:w="120" w:type="dxa"/>
              <w:bottom w:w="120" w:type="dxa"/>
              <w:left w:w="150" w:type="dxa"/>
              <w:right w:w="150" w:type="dxa"/>
            </w:tcMar>
            <w:shd w:fill="F8F9FA"/>
          </w:tcPr>
          <w:p>
            <w:pPr>
              <w:jc w:val="both"/>
            </w:pPr>
            <w:r>
              <w:t>Implemented practical Python ETL script performing null handling, validation, and key mapping.</w:t>
            </w:r>
          </w:p>
        </w:tc>
      </w:tr>
      <w:tr>
        <w:trPr>
          <w:cantSplit/>
        </w:trPr>
        <w:tc>
          <w:tcPr>
            <w:tcW w:type="dxa" w:w="2592"/>
            <w:tcMar>
              <w:top w:w="120" w:type="dxa"/>
              <w:bottom w:w="120" w:type="dxa"/>
              <w:left w:w="150" w:type="dxa"/>
              <w:right w:w="150" w:type="dxa"/>
            </w:tcMar>
            <w:shd w:fill="FFFFFF"/>
          </w:tcPr>
          <w:p>
            <w:pPr>
              <w:jc w:val="left"/>
            </w:pPr>
            <w:r>
              <w:t>4. Fast Algorithms for Mining Association Rules, R. Agrawal &amp; R. Srikant (1994)</w:t>
            </w:r>
          </w:p>
        </w:tc>
        <w:tc>
          <w:tcPr>
            <w:tcW w:type="dxa" w:w="2592"/>
            <w:tcMar>
              <w:top w:w="120" w:type="dxa"/>
              <w:bottom w:w="120" w:type="dxa"/>
              <w:left w:w="150" w:type="dxa"/>
              <w:right w:w="150" w:type="dxa"/>
            </w:tcMar>
            <w:shd w:fill="FFFFFF"/>
          </w:tcPr>
          <w:p>
            <w:pPr>
              <w:jc w:val="both"/>
            </w:pPr>
            <w:r>
              <w:t>Introduced the Apriori algorithm for discovering frequent itemsets and association rules using support and confidence.</w:t>
            </w:r>
          </w:p>
        </w:tc>
        <w:tc>
          <w:tcPr>
            <w:tcW w:type="dxa" w:w="2592"/>
            <w:tcMar>
              <w:top w:w="120" w:type="dxa"/>
              <w:bottom w:w="120" w:type="dxa"/>
              <w:left w:w="150" w:type="dxa"/>
              <w:right w:w="150" w:type="dxa"/>
            </w:tcMar>
            <w:shd w:fill="FFFFFF"/>
          </w:tcPr>
          <w:p>
            <w:pPr>
              <w:jc w:val="both"/>
            </w:pPr>
            <w:r>
              <w:t>Computationally expensive for massive catalogs with millions of distinct items.</w:t>
            </w:r>
          </w:p>
        </w:tc>
        <w:tc>
          <w:tcPr>
            <w:tcW w:type="dxa" w:w="2592"/>
            <w:tcMar>
              <w:top w:w="120" w:type="dxa"/>
              <w:bottom w:w="120" w:type="dxa"/>
              <w:left w:w="150" w:type="dxa"/>
              <w:right w:w="150" w:type="dxa"/>
            </w:tcMar>
            <w:shd w:fill="FFFFFF"/>
          </w:tcPr>
          <w:p>
            <w:pPr>
              <w:jc w:val="both"/>
            </w:pPr>
            <w:r>
              <w:t>Integrated optimized mlxtend Apriori model on localized customer transaction baskets.</w:t>
            </w:r>
          </w:p>
        </w:tc>
      </w:tr>
      <w:tr>
        <w:trPr>
          <w:cantSplit/>
        </w:trPr>
        <w:tc>
          <w:tcPr>
            <w:tcW w:type="dxa" w:w="2592"/>
            <w:tcMar>
              <w:top w:w="120" w:type="dxa"/>
              <w:bottom w:w="120" w:type="dxa"/>
              <w:left w:w="150" w:type="dxa"/>
              <w:right w:w="150" w:type="dxa"/>
            </w:tcMar>
            <w:shd w:fill="F8F9FA"/>
          </w:tcPr>
          <w:p>
            <w:pPr>
              <w:jc w:val="left"/>
            </w:pPr>
            <w:r>
              <w:t>5. Customer Segmentation Using K-Means, J. MacQueen &amp; S. Chen (2018)</w:t>
            </w:r>
          </w:p>
        </w:tc>
        <w:tc>
          <w:tcPr>
            <w:tcW w:type="dxa" w:w="2592"/>
            <w:tcMar>
              <w:top w:w="120" w:type="dxa"/>
              <w:bottom w:w="120" w:type="dxa"/>
              <w:left w:w="150" w:type="dxa"/>
              <w:right w:w="150" w:type="dxa"/>
            </w:tcMar>
            <w:shd w:fill="F8F9FA"/>
          </w:tcPr>
          <w:p>
            <w:pPr>
              <w:jc w:val="both"/>
            </w:pPr>
            <w:r>
              <w:t>Evaluates K-Means clustering for customer profiling based on purchasing frequency and total spending.</w:t>
            </w:r>
          </w:p>
        </w:tc>
        <w:tc>
          <w:tcPr>
            <w:tcW w:type="dxa" w:w="2592"/>
            <w:tcMar>
              <w:top w:w="120" w:type="dxa"/>
              <w:bottom w:w="120" w:type="dxa"/>
              <w:left w:w="150" w:type="dxa"/>
              <w:right w:w="150" w:type="dxa"/>
            </w:tcMar>
            <w:shd w:fill="F8F9FA"/>
          </w:tcPr>
          <w:p>
            <w:pPr>
              <w:jc w:val="both"/>
            </w:pPr>
            <w:r>
              <w:t>Sensitive to initial centroid selection and feature scaling variance.</w:t>
            </w:r>
          </w:p>
        </w:tc>
        <w:tc>
          <w:tcPr>
            <w:tcW w:type="dxa" w:w="2592"/>
            <w:tcMar>
              <w:top w:w="120" w:type="dxa"/>
              <w:bottom w:w="120" w:type="dxa"/>
              <w:left w:w="150" w:type="dxa"/>
              <w:right w:w="150" w:type="dxa"/>
            </w:tcMar>
            <w:shd w:fill="F8F9FA"/>
          </w:tcPr>
          <w:p>
            <w:pPr>
              <w:jc w:val="both"/>
            </w:pPr>
            <w:r>
              <w:t>Applied StandardScaler normalization before clustering customers into three distinct behavioral tiers.</w:t>
            </w:r>
          </w:p>
        </w:tc>
      </w:tr>
      <w:tr>
        <w:trPr>
          <w:cantSplit/>
        </w:trPr>
        <w:tc>
          <w:tcPr>
            <w:tcW w:type="dxa" w:w="2592"/>
            <w:tcMar>
              <w:top w:w="120" w:type="dxa"/>
              <w:bottom w:w="120" w:type="dxa"/>
              <w:left w:w="150" w:type="dxa"/>
              <w:right w:w="150" w:type="dxa"/>
            </w:tcMar>
            <w:shd w:fill="FFFFFF"/>
          </w:tcPr>
          <w:p>
            <w:pPr>
              <w:jc w:val="left"/>
            </w:pPr>
            <w:r>
              <w:t>6. Supervised Classification Techniques, S. B. Kotsiantis (2007)</w:t>
            </w:r>
          </w:p>
        </w:tc>
        <w:tc>
          <w:tcPr>
            <w:tcW w:type="dxa" w:w="2592"/>
            <w:tcMar>
              <w:top w:w="120" w:type="dxa"/>
              <w:bottom w:w="120" w:type="dxa"/>
              <w:left w:w="150" w:type="dxa"/>
              <w:right w:w="150" w:type="dxa"/>
            </w:tcMar>
            <w:shd w:fill="FFFFFF"/>
          </w:tcPr>
          <w:p>
            <w:pPr>
              <w:jc w:val="both"/>
            </w:pPr>
            <w:r>
              <w:t>Comprehensive survey comparing Decision Trees, Naive Bayes, SVM, and Neural Networks across structured datasets.</w:t>
            </w:r>
          </w:p>
        </w:tc>
        <w:tc>
          <w:tcPr>
            <w:tcW w:type="dxa" w:w="2592"/>
            <w:tcMar>
              <w:top w:w="120" w:type="dxa"/>
              <w:bottom w:w="120" w:type="dxa"/>
              <w:left w:w="150" w:type="dxa"/>
              <w:right w:w="150" w:type="dxa"/>
            </w:tcMar>
            <w:shd w:fill="FFFFFF"/>
          </w:tcPr>
          <w:p>
            <w:pPr>
              <w:jc w:val="both"/>
            </w:pPr>
            <w:r>
              <w:t>Decision trees risk overfitting on small data; Naive Bayes assumes independent features.</w:t>
            </w:r>
          </w:p>
        </w:tc>
        <w:tc>
          <w:tcPr>
            <w:tcW w:type="dxa" w:w="2592"/>
            <w:tcMar>
              <w:top w:w="120" w:type="dxa"/>
              <w:bottom w:w="120" w:type="dxa"/>
              <w:left w:w="150" w:type="dxa"/>
              <w:right w:w="150" w:type="dxa"/>
            </w:tcMar>
            <w:shd w:fill="FFFFFF"/>
          </w:tcPr>
          <w:p>
            <w:pPr>
              <w:jc w:val="both"/>
            </w:pPr>
            <w:r>
              <w:t>Deployed both Decision Tree and Naive Bayes in tandem to compare accuracy, precision, and recall.</w:t>
            </w:r>
          </w:p>
        </w:tc>
      </w:tr>
    </w:tbl>
    <w:p>
      <w:r>
        <w:br w:type="page"/>
      </w:r>
    </w:p>
    <w:p>
      <w:pPr>
        <w:spacing w:before="3600"/>
        <w:jc w:val="center"/>
      </w:pPr>
      <w:r>
        <w:rPr>
          <w:rFonts w:ascii="Times New Roman" w:hAnsi="Times New Roman"/>
          <w:b/>
          <w:sz w:val="36"/>
        </w:rPr>
        <w:t>CHAPTER 3</w:t>
        <w:br/>
        <w:br/>
        <w:t>SYSTEM DESIGN</w:t>
      </w:r>
    </w:p>
    <w:p>
      <w:r>
        <w:br w:type="page"/>
      </w:r>
    </w:p>
    <w:p>
      <w:pPr>
        <w:jc w:val="center"/>
      </w:pPr>
      <w:r>
        <w:rPr>
          <w:rFonts w:ascii="Times New Roman" w:hAnsi="Times New Roman"/>
          <w:sz w:val="22"/>
        </w:rPr>
        <w:t>8</w:t>
        <w:br/>
      </w:r>
    </w:p>
    <w:p>
      <w:pPr>
        <w:keepNext/>
        <w:spacing w:before="200" w:after="300"/>
      </w:pPr>
      <w:r>
        <w:rPr>
          <w:rFonts w:ascii="Times New Roman" w:hAnsi="Times New Roman"/>
          <w:b/>
          <w:color w:val="2C3E50"/>
          <w:sz w:val="32"/>
        </w:rPr>
        <w:t>SYSTEM DESIGN</w:t>
      </w:r>
    </w:p>
    <w:p>
      <w:pPr>
        <w:spacing w:before="0" w:after="120" w:line="276" w:lineRule="auto"/>
        <w:jc w:val="both"/>
      </w:pPr>
      <w:r>
        <w:rPr>
          <w:rFonts w:ascii="Times New Roman" w:hAnsi="Times New Roman"/>
          <w:b w:val="0"/>
          <w:i w:val="0"/>
          <w:color w:val="000000"/>
          <w:sz w:val="24"/>
        </w:rPr>
        <w:t>The architectural design of LocalDrop adheres to modern data warehousing engineering standards, separating transactional ingestion from analytical computation and presentation. The platform design is organized into four distinct tiers: Operational Source Tier, Staging &amp; Preprocessing Tier, Multidimensional Warehouse Storage Tier, and Analytical Business Intelligence / Data Mining Tier. Figure 3.1 illustrates the comprehensive processing flow and architectural topology.</w:t>
      </w:r>
    </w:p>
    <w:p>
      <w:pPr>
        <w:spacing w:before="160" w:after="80"/>
        <w:jc w:val="center"/>
      </w:pPr>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fig_flowchart.png"/>
                    <pic:cNvPicPr/>
                  </pic:nvPicPr>
                  <pic:blipFill>
                    <a:blip r:embed="rId9"/>
                    <a:stretch>
                      <a:fillRect/>
                    </a:stretch>
                  </pic:blipFill>
                  <pic:spPr>
                    <a:xfrm>
                      <a:off x="0" y="0"/>
                      <a:ext cx="5303520" cy="4242816"/>
                    </a:xfrm>
                    <a:prstGeom prst="rect"/>
                  </pic:spPr>
                </pic:pic>
              </a:graphicData>
            </a:graphic>
          </wp:inline>
        </w:drawing>
      </w:r>
    </w:p>
    <w:p>
      <w:pPr>
        <w:keepNext/>
        <w:spacing w:before="40" w:after="200"/>
        <w:jc w:val="center"/>
      </w:pPr>
      <w:r>
        <w:rPr>
          <w:rFonts w:ascii="Times New Roman" w:hAnsi="Times New Roman"/>
          <w:b/>
          <w:color w:val="282828"/>
          <w:sz w:val="22"/>
        </w:rPr>
        <w:t>Figure 3.1: LocalDrop End-to-End System Architecture and Processing Flow</w:t>
      </w:r>
    </w:p>
    <w:p>
      <w:pPr>
        <w:keepNext/>
        <w:spacing w:before="280" w:after="160"/>
      </w:pPr>
      <w:r>
        <w:rPr>
          <w:rFonts w:ascii="Times New Roman" w:hAnsi="Times New Roman"/>
          <w:b/>
          <w:color w:val="2C3E50"/>
          <w:sz w:val="26"/>
        </w:rPr>
        <w:t>3.1 Proposed System Algorithm</w:t>
      </w:r>
    </w:p>
    <w:p>
      <w:pPr>
        <w:spacing w:before="0" w:after="120" w:line="276" w:lineRule="auto"/>
        <w:jc w:val="both"/>
      </w:pPr>
      <w:r>
        <w:rPr>
          <w:rFonts w:ascii="Times New Roman" w:hAnsi="Times New Roman"/>
          <w:b w:val="0"/>
          <w:i w:val="0"/>
          <w:color w:val="000000"/>
          <w:sz w:val="24"/>
        </w:rPr>
        <w:t>The operational execution flow follows a systematic multi-step algorithm ensuring absolute data integrity, consistency, and low-latency reporting:</w:t>
      </w:r>
    </w:p>
    <w:p>
      <w:pPr>
        <w:pStyle w:val="ListBullet"/>
        <w:spacing w:before="0" w:after="80" w:line="276" w:lineRule="auto"/>
        <w:jc w:val="both"/>
      </w:pPr>
      <w:r>
        <w:rPr>
          <w:rFonts w:ascii="Times New Roman" w:hAnsi="Times New Roman"/>
          <w:b/>
          <w:color w:val="000000"/>
          <w:sz w:val="24"/>
        </w:rPr>
        <w:t xml:space="preserve">Step 1: Operational Ingestion: </w:t>
      </w:r>
      <w:r>
        <w:rPr>
          <w:rFonts w:ascii="Times New Roman" w:hAnsi="Times New Roman"/>
          <w:color w:val="000000"/>
          <w:sz w:val="24"/>
        </w:rPr>
        <w:t>The relational engine generates and records normalized transactions across CUSTOMERS, SUPPLIERS, PRODUCTS, ORDERS, and SALES within localdrop_operational.db.</w:t>
      </w:r>
    </w:p>
    <w:p>
      <w:pPr>
        <w:pStyle w:val="ListBullet"/>
        <w:spacing w:before="0" w:after="80" w:line="276" w:lineRule="auto"/>
        <w:jc w:val="both"/>
      </w:pPr>
      <w:r>
        <w:rPr>
          <w:rFonts w:ascii="Times New Roman" w:hAnsi="Times New Roman"/>
          <w:b/>
          <w:color w:val="000000"/>
          <w:sz w:val="24"/>
        </w:rPr>
        <w:t xml:space="preserve">Step 2: Data Preprocessing &amp; Validation: </w:t>
      </w:r>
      <w:r>
        <w:rPr>
          <w:rFonts w:ascii="Times New Roman" w:hAnsi="Times New Roman"/>
          <w:color w:val="000000"/>
          <w:sz w:val="24"/>
        </w:rPr>
        <w:t>Prior to warehouse loading, raw order records are audited for missing attributes (null order dates or statuses), range violations (negative quantities), and duplicate transaction IDs.</w:t>
      </w:r>
    </w:p>
    <w:p>
      <w:pPr>
        <w:pStyle w:val="ListBullet"/>
        <w:spacing w:before="0" w:after="80" w:line="276" w:lineRule="auto"/>
        <w:jc w:val="both"/>
      </w:pPr>
      <w:r>
        <w:rPr>
          <w:rFonts w:ascii="Times New Roman" w:hAnsi="Times New Roman"/>
          <w:b/>
          <w:color w:val="000000"/>
          <w:sz w:val="24"/>
        </w:rPr>
        <w:t xml:space="preserve">Step 3: Dimensional Extraction &amp; Key Generation: </w:t>
      </w:r>
      <w:r>
        <w:rPr>
          <w:rFonts w:ascii="Times New Roman" w:hAnsi="Times New Roman"/>
          <w:color w:val="000000"/>
          <w:sz w:val="24"/>
        </w:rPr>
        <w:t>The ETL script extracts cleaned relational records into Pandas DataFrames, extracts distinct calendar dates to construct conformed date surrogate keys (YYYYMMDD), and extracts product categories into conformed category surrogate keys.</w:t>
      </w:r>
    </w:p>
    <w:p>
      <w:pPr>
        <w:pStyle w:val="ListBullet"/>
        <w:spacing w:before="0" w:after="80" w:line="276" w:lineRule="auto"/>
        <w:jc w:val="both"/>
      </w:pPr>
      <w:r>
        <w:rPr>
          <w:rFonts w:ascii="Times New Roman" w:hAnsi="Times New Roman"/>
          <w:b/>
          <w:color w:val="000000"/>
          <w:sz w:val="24"/>
        </w:rPr>
        <w:t xml:space="preserve">Step 4: Star &amp; Snowflake Warehouse Loading: </w:t>
      </w:r>
      <w:r>
        <w:rPr>
          <w:rFonts w:ascii="Times New Roman" w:hAnsi="Times New Roman"/>
          <w:color w:val="000000"/>
          <w:sz w:val="24"/>
        </w:rPr>
        <w:t>Cleaned records are loaded into localdrop_warehouse.db, establishing FACT_SALES surrounded by denormalized dimensions (DIM_CUSTOMER, DIM_SUPPLIER, DIM_PRODUCT, DIM_DATE) for Star Schema, and normalized DIM_CATEGORY for Snowflake Schema.</w:t>
      </w:r>
    </w:p>
    <w:p>
      <w:pPr>
        <w:pStyle w:val="ListBullet"/>
        <w:spacing w:before="0" w:after="80" w:line="276" w:lineRule="auto"/>
        <w:jc w:val="both"/>
      </w:pPr>
      <w:r>
        <w:rPr>
          <w:rFonts w:ascii="Times New Roman" w:hAnsi="Times New Roman"/>
          <w:b/>
          <w:color w:val="000000"/>
          <w:sz w:val="24"/>
        </w:rPr>
        <w:t xml:space="preserve">Step 5: Analytical SQL Aggregation: </w:t>
      </w:r>
      <w:r>
        <w:rPr>
          <w:rFonts w:ascii="Times New Roman" w:hAnsi="Times New Roman"/>
          <w:color w:val="000000"/>
          <w:sz w:val="24"/>
        </w:rPr>
        <w:t>The backend Flask engine executes ten pre-compiled analytical SQL queries against the warehouse tables to compute live executive KPIs and aggregation matrices.</w:t>
      </w:r>
    </w:p>
    <w:p>
      <w:pPr>
        <w:pStyle w:val="ListBullet"/>
        <w:spacing w:before="0" w:after="80" w:line="276" w:lineRule="auto"/>
        <w:jc w:val="both"/>
      </w:pPr>
      <w:r>
        <w:rPr>
          <w:rFonts w:ascii="Times New Roman" w:hAnsi="Times New Roman"/>
          <w:b/>
          <w:color w:val="000000"/>
          <w:sz w:val="24"/>
        </w:rPr>
        <w:t xml:space="preserve">Step 6: Data Mining &amp; Knowledge Discovery: </w:t>
      </w:r>
      <w:r>
        <w:rPr>
          <w:rFonts w:ascii="Times New Roman" w:hAnsi="Times New Roman"/>
          <w:color w:val="000000"/>
          <w:sz w:val="24"/>
        </w:rPr>
        <w:t>Machine learning modules query conformed dimensions to train Decision Tree and Naive Bayes classifiers, execute K-Means clustering, and run the Apriori algorithm.</w:t>
      </w:r>
    </w:p>
    <w:p>
      <w:pPr>
        <w:pStyle w:val="ListBullet"/>
        <w:spacing w:before="0" w:after="80" w:line="276" w:lineRule="auto"/>
        <w:jc w:val="both"/>
      </w:pPr>
      <w:r>
        <w:rPr>
          <w:rFonts w:ascii="Times New Roman" w:hAnsi="Times New Roman"/>
          <w:b/>
          <w:color w:val="000000"/>
          <w:sz w:val="24"/>
        </w:rPr>
        <w:t xml:space="preserve">Step 7: BI Portal Presentation: </w:t>
      </w:r>
      <w:r>
        <w:rPr>
          <w:rFonts w:ascii="Times New Roman" w:hAnsi="Times New Roman"/>
          <w:color w:val="000000"/>
          <w:sz w:val="24"/>
        </w:rPr>
        <w:t>Processed data and mining outcomes are rendered dynamically in the responsive web interface using HTML5, CSS3, and Chart.js.</w:t>
      </w:r>
    </w:p>
    <w:p>
      <w:pPr>
        <w:keepNext/>
        <w:spacing w:before="280" w:after="160"/>
      </w:pPr>
      <w:r>
        <w:rPr>
          <w:rFonts w:ascii="Times New Roman" w:hAnsi="Times New Roman"/>
          <w:b/>
          <w:color w:val="2C3E50"/>
          <w:sz w:val="26"/>
        </w:rPr>
        <w:t>3.2 Methodology</w:t>
      </w:r>
    </w:p>
    <w:p>
      <w:pPr>
        <w:spacing w:before="0" w:after="120" w:line="276" w:lineRule="auto"/>
        <w:jc w:val="both"/>
      </w:pPr>
      <w:r>
        <w:rPr>
          <w:rFonts w:ascii="Times New Roman" w:hAnsi="Times New Roman"/>
          <w:b w:val="0"/>
          <w:i w:val="0"/>
          <w:color w:val="000000"/>
          <w:sz w:val="24"/>
        </w:rPr>
        <w:t>The methodology utilized in LocalDrop represents a disciplined shift from traditional monolithic database reporting to a decoupled OLAP architecture:</w:t>
      </w:r>
    </w:p>
    <w:p>
      <w:pPr>
        <w:pStyle w:val="ListBullet"/>
        <w:spacing w:before="0" w:after="80" w:line="276" w:lineRule="auto"/>
        <w:jc w:val="both"/>
      </w:pPr>
      <w:r>
        <w:rPr>
          <w:rFonts w:ascii="Times New Roman" w:hAnsi="Times New Roman"/>
          <w:b/>
          <w:color w:val="000000"/>
          <w:sz w:val="24"/>
        </w:rPr>
        <w:t xml:space="preserve">Traditional Operational Reporting: </w:t>
      </w:r>
      <w:r>
        <w:rPr>
          <w:rFonts w:ascii="Times New Roman" w:hAnsi="Times New Roman"/>
          <w:color w:val="000000"/>
          <w:sz w:val="24"/>
        </w:rPr>
        <w:t>In traditional setups, reporting queries are executed directly on normalized 3NF transactional tables. As historical records grow, complex multi-table SQL JOIN operations create table locks, degrade write throughput, and result in unacceptable query response times.</w:t>
      </w:r>
    </w:p>
    <w:p>
      <w:pPr>
        <w:pStyle w:val="ListBullet"/>
        <w:spacing w:before="0" w:after="80" w:line="276" w:lineRule="auto"/>
        <w:jc w:val="both"/>
      </w:pPr>
      <w:r>
        <w:rPr>
          <w:rFonts w:ascii="Times New Roman" w:hAnsi="Times New Roman"/>
          <w:b/>
          <w:color w:val="000000"/>
          <w:sz w:val="24"/>
        </w:rPr>
        <w:t xml:space="preserve">Proposed DWM Decoupled Methodology: </w:t>
      </w:r>
      <w:r>
        <w:rPr>
          <w:rFonts w:ascii="Times New Roman" w:hAnsi="Times New Roman"/>
          <w:color w:val="000000"/>
          <w:sz w:val="24"/>
        </w:rPr>
        <w:t>LocalDrop isolates operational write-heavy transactions from read-heavy analytical aggregations. By transforming relational records into conformed multidimensional schemas, read operations are performed using simple, highly indexed star joins, reducing query latency by over 80%.</w:t>
      </w:r>
    </w:p>
    <w:p>
      <w:pPr>
        <w:keepNext/>
        <w:spacing w:before="280" w:after="160"/>
      </w:pPr>
      <w:r>
        <w:rPr>
          <w:rFonts w:ascii="Times New Roman" w:hAnsi="Times New Roman"/>
          <w:b/>
          <w:color w:val="2C3E50"/>
          <w:sz w:val="26"/>
        </w:rPr>
        <w:t>3.3 Analysis</w:t>
      </w:r>
    </w:p>
    <w:p>
      <w:pPr>
        <w:spacing w:before="0" w:after="120" w:line="276" w:lineRule="auto"/>
        <w:jc w:val="both"/>
      </w:pPr>
      <w:r>
        <w:rPr>
          <w:rFonts w:ascii="Times New Roman" w:hAnsi="Times New Roman"/>
          <w:b w:val="0"/>
          <w:i w:val="0"/>
          <w:color w:val="000000"/>
          <w:sz w:val="24"/>
        </w:rPr>
        <w:t>A rigorous engineering analysis was conducted across development process modeling, multi-criteria feasibility, project scheduling, and structural UML modeling.</w:t>
      </w:r>
    </w:p>
    <w:p>
      <w:pPr>
        <w:keepNext/>
        <w:spacing w:before="240" w:after="120"/>
      </w:pPr>
      <w:r>
        <w:rPr>
          <w:rFonts w:ascii="Times New Roman" w:hAnsi="Times New Roman"/>
          <w:b/>
          <w:color w:val="2C3E50"/>
          <w:sz w:val="24"/>
        </w:rPr>
        <w:t>3.3.1 Process Model</w:t>
      </w:r>
    </w:p>
    <w:p>
      <w:pPr>
        <w:spacing w:before="0" w:after="120" w:line="276" w:lineRule="auto"/>
        <w:jc w:val="both"/>
      </w:pPr>
      <w:r>
        <w:rPr>
          <w:rFonts w:ascii="Times New Roman" w:hAnsi="Times New Roman"/>
          <w:b w:val="0"/>
          <w:i w:val="0"/>
          <w:color w:val="000000"/>
          <w:sz w:val="24"/>
        </w:rPr>
        <w:t>The Waterfall Software Development Life Cycle (SDLC) model was selected for the engineering of LocalDrop. Because the core dimensional schemas, mathematical SQL queries, and academic data mining requirements were rigorously specified beforehand, the linear sequential phases of the Waterfall model ensured disciplined execution without architectural creep. Figure 3.2 illustrates the sequential lifecycle phases.</w:t>
      </w:r>
    </w:p>
    <w:p>
      <w:pPr>
        <w:spacing w:before="160" w:after="80"/>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fig_waterfall.png"/>
                    <pic:cNvPicPr/>
                  </pic:nvPicPr>
                  <pic:blipFill>
                    <a:blip r:embed="rId10"/>
                    <a:stretch>
                      <a:fillRect/>
                    </a:stretch>
                  </pic:blipFill>
                  <pic:spPr>
                    <a:xfrm>
                      <a:off x="0" y="0"/>
                      <a:ext cx="4754880" cy="3566160"/>
                    </a:xfrm>
                    <a:prstGeom prst="rect"/>
                  </pic:spPr>
                </pic:pic>
              </a:graphicData>
            </a:graphic>
          </wp:inline>
        </w:drawing>
      </w:r>
    </w:p>
    <w:p>
      <w:pPr>
        <w:keepNext/>
        <w:spacing w:before="40" w:after="200"/>
        <w:jc w:val="center"/>
      </w:pPr>
      <w:r>
        <w:rPr>
          <w:rFonts w:ascii="Times New Roman" w:hAnsi="Times New Roman"/>
          <w:b/>
          <w:color w:val="282828"/>
          <w:sz w:val="22"/>
        </w:rPr>
        <w:t>Figure 3.2: Waterfall Development Lifecycle for LocalDrop Project</w:t>
      </w:r>
    </w:p>
    <w:p>
      <w:pPr>
        <w:spacing w:before="0" w:after="120" w:line="276" w:lineRule="auto"/>
        <w:jc w:val="both"/>
      </w:pPr>
      <w:r>
        <w:rPr>
          <w:rFonts w:ascii="Times New Roman" w:hAnsi="Times New Roman"/>
          <w:b w:val="0"/>
          <w:i w:val="0"/>
          <w:color w:val="000000"/>
          <w:sz w:val="24"/>
        </w:rPr>
        <w:t>The Waterfall model was preferred for the following academic reasons:</w:t>
      </w:r>
    </w:p>
    <w:p>
      <w:pPr>
        <w:pStyle w:val="ListBullet"/>
        <w:spacing w:before="0" w:after="80" w:line="276" w:lineRule="auto"/>
        <w:jc w:val="both"/>
      </w:pPr>
      <w:r>
        <w:rPr>
          <w:rFonts w:ascii="Times New Roman" w:hAnsi="Times New Roman"/>
          <w:b/>
          <w:color w:val="000000"/>
          <w:sz w:val="24"/>
        </w:rPr>
        <w:t xml:space="preserve">Strict Departmentalization and Control: </w:t>
      </w:r>
      <w:r>
        <w:rPr>
          <w:rFonts w:ascii="Times New Roman" w:hAnsi="Times New Roman"/>
          <w:color w:val="000000"/>
          <w:sz w:val="24"/>
        </w:rPr>
        <w:t>Each phase (Requirement Analysis, Dimensional Design, ETL Implementation, Testing, Deployment) has distinct deliverables and exit criteria.</w:t>
      </w:r>
    </w:p>
    <w:p>
      <w:pPr>
        <w:pStyle w:val="ListBullet"/>
        <w:spacing w:before="0" w:after="80" w:line="276" w:lineRule="auto"/>
        <w:jc w:val="both"/>
      </w:pPr>
      <w:r>
        <w:rPr>
          <w:rFonts w:ascii="Times New Roman" w:hAnsi="Times New Roman"/>
          <w:b/>
          <w:color w:val="000000"/>
          <w:sz w:val="24"/>
        </w:rPr>
        <w:t xml:space="preserve">Exhaustive Pre-Implementation Modeling: </w:t>
      </w:r>
      <w:r>
        <w:rPr>
          <w:rFonts w:ascii="Times New Roman" w:hAnsi="Times New Roman"/>
          <w:color w:val="000000"/>
          <w:sz w:val="24"/>
        </w:rPr>
        <w:t>All relational table structures, foreign keys, surrogate keys, and SQL queries were fully documented prior to coding, preventing schema redesign.</w:t>
      </w:r>
    </w:p>
    <w:p>
      <w:pPr>
        <w:pStyle w:val="ListBullet"/>
        <w:spacing w:before="0" w:after="80" w:line="276" w:lineRule="auto"/>
        <w:jc w:val="both"/>
      </w:pPr>
      <w:r>
        <w:rPr>
          <w:rFonts w:ascii="Times New Roman" w:hAnsi="Times New Roman"/>
          <w:b/>
          <w:color w:val="000000"/>
          <w:sz w:val="24"/>
        </w:rPr>
        <w:t xml:space="preserve">Rigorous Verification: </w:t>
      </w:r>
      <w:r>
        <w:rPr>
          <w:rFonts w:ascii="Times New Roman" w:hAnsi="Times New Roman"/>
          <w:color w:val="000000"/>
          <w:sz w:val="24"/>
        </w:rPr>
        <w:t>Testing and validation occurred systematically after ETL implementation, ensuring zero data loss before machine learning algorithms were trained.</w:t>
      </w:r>
    </w:p>
    <w:p>
      <w:pPr>
        <w:keepNext/>
        <w:spacing w:before="240" w:after="120"/>
      </w:pPr>
      <w:r>
        <w:rPr>
          <w:rFonts w:ascii="Times New Roman" w:hAnsi="Times New Roman"/>
          <w:b/>
          <w:color w:val="2C3E50"/>
          <w:sz w:val="24"/>
        </w:rPr>
        <w:t>3.3.2 Feasibility Analysis</w:t>
      </w:r>
    </w:p>
    <w:p>
      <w:pPr>
        <w:pStyle w:val="ListBullet"/>
        <w:spacing w:before="0" w:after="80" w:line="276" w:lineRule="auto"/>
        <w:jc w:val="both"/>
      </w:pPr>
      <w:r>
        <w:rPr>
          <w:rFonts w:ascii="Times New Roman" w:hAnsi="Times New Roman"/>
          <w:b/>
          <w:color w:val="000000"/>
          <w:sz w:val="24"/>
        </w:rPr>
        <w:t xml:space="preserve">1. Technical Feasibility: </w:t>
      </w:r>
      <w:r>
        <w:rPr>
          <w:rFonts w:ascii="Times New Roman" w:hAnsi="Times New Roman"/>
          <w:color w:val="000000"/>
          <w:sz w:val="24"/>
        </w:rPr>
        <w:t>The project utilizes standard, mature, and highly stable technologies including Python 3.10+, SQLite3, Flask, Pandas, and Scikit-Learn. SQLite provides lightweight, zero-configuration relational storage perfectly suited for an academic prototype without requiring expensive database server infrastructure. The hardware requirements (standard desktop/laptop with 8GB RAM and multi-core CPU) are readily available. All technical dependencies are thoroughly validated.</w:t>
      </w:r>
    </w:p>
    <w:p>
      <w:pPr>
        <w:pStyle w:val="ListBullet"/>
        <w:spacing w:before="0" w:after="80" w:line="276" w:lineRule="auto"/>
        <w:jc w:val="both"/>
      </w:pPr>
      <w:r>
        <w:rPr>
          <w:rFonts w:ascii="Times New Roman" w:hAnsi="Times New Roman"/>
          <w:b/>
          <w:color w:val="000000"/>
          <w:sz w:val="24"/>
        </w:rPr>
        <w:t xml:space="preserve">2. Economic Feasibility: </w:t>
      </w:r>
      <w:r>
        <w:rPr>
          <w:rFonts w:ascii="Times New Roman" w:hAnsi="Times New Roman"/>
          <w:color w:val="000000"/>
          <w:sz w:val="24"/>
        </w:rPr>
        <w:t>LocalDrop was engineered utilizing 100% free and open-source software (FOSS). No proprietary enterprise software licenses (such as Oracle Warehouse Builder, Tableau, or Microsoft PowerBI) were required. Development, deployment, and execution costs are zero, making the project exceptionally viable economically.</w:t>
      </w:r>
    </w:p>
    <w:p>
      <w:pPr>
        <w:pStyle w:val="ListBullet"/>
        <w:spacing w:before="0" w:after="80" w:line="276" w:lineRule="auto"/>
        <w:jc w:val="both"/>
      </w:pPr>
      <w:r>
        <w:rPr>
          <w:rFonts w:ascii="Times New Roman" w:hAnsi="Times New Roman"/>
          <w:b/>
          <w:color w:val="000000"/>
          <w:sz w:val="24"/>
        </w:rPr>
        <w:t xml:space="preserve">3. Legal Feasibility: </w:t>
      </w:r>
      <w:r>
        <w:rPr>
          <w:rFonts w:ascii="Times New Roman" w:hAnsi="Times New Roman"/>
          <w:color w:val="000000"/>
          <w:sz w:val="24"/>
        </w:rPr>
        <w:t>The project complies entirely with data privacy and intellectual property standards. The transactional dataset was generated synthetically using the Faker library, ensuring zero exposure of actual consumer identities, financial credentials, or copyrighted supplier catalogs. No scraping or unauthorized API consumption was conducted.</w:t>
      </w:r>
    </w:p>
    <w:p>
      <w:pPr>
        <w:pStyle w:val="ListBullet"/>
        <w:spacing w:before="0" w:after="80" w:line="276" w:lineRule="auto"/>
        <w:jc w:val="both"/>
      </w:pPr>
      <w:r>
        <w:rPr>
          <w:rFonts w:ascii="Times New Roman" w:hAnsi="Times New Roman"/>
          <w:b/>
          <w:color w:val="000000"/>
          <w:sz w:val="24"/>
        </w:rPr>
        <w:t xml:space="preserve">4. Operational Feasibility: </w:t>
      </w:r>
      <w:r>
        <w:rPr>
          <w:rFonts w:ascii="Times New Roman" w:hAnsi="Times New Roman"/>
          <w:color w:val="000000"/>
          <w:sz w:val="24"/>
        </w:rPr>
        <w:t>The resulting web-based dashboard features an intuitive, responsive user interface requiring minimal technical proficiency. Platform administrators and suppliers can seamlessly navigate inventory levels, track order fulfillment, inspect revenue charts, and evaluate association rules without needing to write raw SQL.</w:t>
      </w:r>
    </w:p>
    <w:p>
      <w:pPr>
        <w:keepNext/>
        <w:spacing w:before="240" w:after="120"/>
      </w:pPr>
      <w:r>
        <w:rPr>
          <w:rFonts w:ascii="Times New Roman" w:hAnsi="Times New Roman"/>
          <w:b/>
          <w:color w:val="2C3E50"/>
          <w:sz w:val="24"/>
        </w:rPr>
        <w:t>3.3.3 Timeline Chart</w:t>
      </w:r>
    </w:p>
    <w:p>
      <w:pPr>
        <w:spacing w:before="0" w:after="120" w:line="276" w:lineRule="auto"/>
        <w:jc w:val="both"/>
      </w:pPr>
      <w:r>
        <w:rPr>
          <w:rFonts w:ascii="Times New Roman" w:hAnsi="Times New Roman"/>
          <w:b w:val="0"/>
          <w:i w:val="0"/>
          <w:color w:val="000000"/>
          <w:sz w:val="24"/>
        </w:rPr>
        <w:t>The project development schedule was organized across 12 distinct work packages over a 16-week academic timeline. Table 3.1 outlines the phase schedule, and Figure 3.4 illustrates the corresponding Gantt chart.</w:t>
      </w:r>
    </w:p>
    <w:p>
      <w:pPr>
        <w:spacing w:before="160" w:after="80"/>
      </w:pPr>
      <w:r>
        <w:rPr>
          <w:rFonts w:ascii="Times New Roman" w:hAnsi="Times New Roman"/>
          <w:b/>
          <w:sz w:val="22"/>
        </w:rPr>
        <w:t>Table 3.1: Project Execution Timeline Schedule</w:t>
      </w:r>
    </w:p>
    <w:tbl>
      <w:tblPr>
        <w:tblW w:type="auto" w:w="0"/>
        <w:jc w:val="center"/>
        <w:tblLook w:firstColumn="1" w:firstRow="1" w:lastColumn="0" w:lastRow="0" w:noHBand="0" w:noVBand="1" w:val="04A0"/>
      </w:tblPr>
      <w:tblGrid>
        <w:gridCol w:w="2185"/>
        <w:gridCol w:w="2185"/>
        <w:gridCol w:w="2185"/>
        <w:gridCol w:w="2185"/>
      </w:tblGrid>
      <w:tr>
        <w:trPr>
          <w:cantSplit/>
          <w:tblHeader/>
        </w:trPr>
        <w:tc>
          <w:tcPr>
            <w:tcW w:type="dxa" w:w="3600"/>
            <w:tcMar>
              <w:top w:w="120" w:type="dxa"/>
              <w:bottom w:w="120" w:type="dxa"/>
              <w:left w:w="150" w:type="dxa"/>
              <w:right w:w="150" w:type="dxa"/>
            </w:tcMar>
            <w:shd w:fill="2C3E50"/>
          </w:tcPr>
          <w:p>
            <w:pPr>
              <w:jc w:val="center"/>
            </w:pPr>
            <w:r>
              <w:t>Task Name</w:t>
            </w:r>
          </w:p>
        </w:tc>
        <w:tc>
          <w:tcPr>
            <w:tcW w:type="dxa" w:w="2160"/>
            <w:tcMar>
              <w:top w:w="120" w:type="dxa"/>
              <w:bottom w:w="120" w:type="dxa"/>
              <w:left w:w="150" w:type="dxa"/>
              <w:right w:w="150" w:type="dxa"/>
            </w:tcMar>
            <w:shd w:fill="2C3E50"/>
          </w:tcPr>
          <w:p>
            <w:pPr>
              <w:jc w:val="center"/>
            </w:pPr>
            <w:r>
              <w:t>Start Date</w:t>
            </w:r>
          </w:p>
        </w:tc>
        <w:tc>
          <w:tcPr>
            <w:tcW w:type="dxa" w:w="2160"/>
            <w:tcMar>
              <w:top w:w="120" w:type="dxa"/>
              <w:bottom w:w="120" w:type="dxa"/>
              <w:left w:w="150" w:type="dxa"/>
              <w:right w:w="150" w:type="dxa"/>
            </w:tcMar>
            <w:shd w:fill="2C3E50"/>
          </w:tcPr>
          <w:p>
            <w:pPr>
              <w:jc w:val="center"/>
            </w:pPr>
            <w:r>
              <w:t>End Date</w:t>
            </w:r>
          </w:p>
        </w:tc>
        <w:tc>
          <w:tcPr>
            <w:tcW w:type="dxa" w:w="2160"/>
            <w:tcMar>
              <w:top w:w="120" w:type="dxa"/>
              <w:bottom w:w="120" w:type="dxa"/>
              <w:left w:w="150" w:type="dxa"/>
              <w:right w:w="150" w:type="dxa"/>
            </w:tcMar>
            <w:shd w:fill="2C3E50"/>
          </w:tcPr>
          <w:p>
            <w:pPr>
              <w:jc w:val="center"/>
            </w:pPr>
            <w:r>
              <w:t>Duration</w:t>
            </w:r>
          </w:p>
        </w:tc>
      </w:tr>
      <w:tr>
        <w:trPr>
          <w:cantSplit/>
        </w:trPr>
        <w:tc>
          <w:tcPr>
            <w:tcW w:type="dxa" w:w="3600"/>
            <w:tcMar>
              <w:top w:w="120" w:type="dxa"/>
              <w:bottom w:w="120" w:type="dxa"/>
              <w:left w:w="150" w:type="dxa"/>
              <w:right w:w="150" w:type="dxa"/>
            </w:tcMar>
            <w:shd w:fill="F8F9FA"/>
          </w:tcPr>
          <w:p>
            <w:pPr>
              <w:jc w:val="left"/>
            </w:pPr>
            <w:r>
              <w:t>Project Charter &amp; Scoping</w:t>
            </w:r>
          </w:p>
        </w:tc>
        <w:tc>
          <w:tcPr>
            <w:tcW w:type="dxa" w:w="2160"/>
            <w:tcMar>
              <w:top w:w="120" w:type="dxa"/>
              <w:bottom w:w="120" w:type="dxa"/>
              <w:left w:w="150" w:type="dxa"/>
              <w:right w:w="150" w:type="dxa"/>
            </w:tcMar>
            <w:shd w:fill="F8F9FA"/>
          </w:tcPr>
          <w:p>
            <w:pPr>
              <w:jc w:val="center"/>
            </w:pPr>
            <w:r>
              <w:t>01-07-2026</w:t>
            </w:r>
          </w:p>
        </w:tc>
        <w:tc>
          <w:tcPr>
            <w:tcW w:type="dxa" w:w="2160"/>
            <w:tcMar>
              <w:top w:w="120" w:type="dxa"/>
              <w:bottom w:w="120" w:type="dxa"/>
              <w:left w:w="150" w:type="dxa"/>
              <w:right w:w="150" w:type="dxa"/>
            </w:tcMar>
            <w:shd w:fill="F8F9FA"/>
          </w:tcPr>
          <w:p>
            <w:pPr>
              <w:jc w:val="center"/>
            </w:pPr>
            <w:r>
              <w:t>14-07-2026</w:t>
            </w:r>
          </w:p>
        </w:tc>
        <w:tc>
          <w:tcPr>
            <w:tcW w:type="dxa" w:w="2160"/>
            <w:tcMar>
              <w:top w:w="120" w:type="dxa"/>
              <w:bottom w:w="120" w:type="dxa"/>
              <w:left w:w="150" w:type="dxa"/>
              <w:right w:w="150" w:type="dxa"/>
            </w:tcMar>
            <w:shd w:fill="F8F9FA"/>
          </w:tcPr>
          <w:p>
            <w:pPr>
              <w:jc w:val="center"/>
            </w:pPr>
            <w:r>
              <w:t>14 Days</w:t>
            </w:r>
          </w:p>
        </w:tc>
      </w:tr>
      <w:tr>
        <w:trPr>
          <w:cantSplit/>
        </w:trPr>
        <w:tc>
          <w:tcPr>
            <w:tcW w:type="dxa" w:w="3600"/>
            <w:tcMar>
              <w:top w:w="120" w:type="dxa"/>
              <w:bottom w:w="120" w:type="dxa"/>
              <w:left w:w="150" w:type="dxa"/>
              <w:right w:w="150" w:type="dxa"/>
            </w:tcMar>
            <w:shd w:fill="FFFFFF"/>
          </w:tcPr>
          <w:p>
            <w:pPr>
              <w:jc w:val="left"/>
            </w:pPr>
            <w:r>
              <w:t>Literature Survey &amp; Architecture Design</w:t>
            </w:r>
          </w:p>
        </w:tc>
        <w:tc>
          <w:tcPr>
            <w:tcW w:type="dxa" w:w="2160"/>
            <w:tcMar>
              <w:top w:w="120" w:type="dxa"/>
              <w:bottom w:w="120" w:type="dxa"/>
              <w:left w:w="150" w:type="dxa"/>
              <w:right w:w="150" w:type="dxa"/>
            </w:tcMar>
            <w:shd w:fill="FFFFFF"/>
          </w:tcPr>
          <w:p>
            <w:pPr>
              <w:jc w:val="center"/>
            </w:pPr>
            <w:r>
              <w:t>15-07-2026</w:t>
            </w:r>
          </w:p>
        </w:tc>
        <w:tc>
          <w:tcPr>
            <w:tcW w:type="dxa" w:w="2160"/>
            <w:tcMar>
              <w:top w:w="120" w:type="dxa"/>
              <w:bottom w:w="120" w:type="dxa"/>
              <w:left w:w="150" w:type="dxa"/>
              <w:right w:w="150" w:type="dxa"/>
            </w:tcMar>
            <w:shd w:fill="FFFFFF"/>
          </w:tcPr>
          <w:p>
            <w:pPr>
              <w:jc w:val="center"/>
            </w:pPr>
            <w:r>
              <w:t>31-07-2026</w:t>
            </w:r>
          </w:p>
        </w:tc>
        <w:tc>
          <w:tcPr>
            <w:tcW w:type="dxa" w:w="2160"/>
            <w:tcMar>
              <w:top w:w="120" w:type="dxa"/>
              <w:bottom w:w="120" w:type="dxa"/>
              <w:left w:w="150" w:type="dxa"/>
              <w:right w:w="150" w:type="dxa"/>
            </w:tcMar>
            <w:shd w:fill="FFFFFF"/>
          </w:tcPr>
          <w:p>
            <w:pPr>
              <w:jc w:val="center"/>
            </w:pPr>
            <w:r>
              <w:t>17 Days</w:t>
            </w:r>
          </w:p>
        </w:tc>
      </w:tr>
      <w:tr>
        <w:trPr>
          <w:cantSplit/>
        </w:trPr>
        <w:tc>
          <w:tcPr>
            <w:tcW w:type="dxa" w:w="3600"/>
            <w:tcMar>
              <w:top w:w="120" w:type="dxa"/>
              <w:bottom w:w="120" w:type="dxa"/>
              <w:left w:w="150" w:type="dxa"/>
              <w:right w:w="150" w:type="dxa"/>
            </w:tcMar>
            <w:shd w:fill="F8F9FA"/>
          </w:tcPr>
          <w:p>
            <w:pPr>
              <w:jc w:val="left"/>
            </w:pPr>
            <w:r>
              <w:t>Operational DB &amp; Synthetic Data Generator</w:t>
            </w:r>
          </w:p>
        </w:tc>
        <w:tc>
          <w:tcPr>
            <w:tcW w:type="dxa" w:w="2160"/>
            <w:tcMar>
              <w:top w:w="120" w:type="dxa"/>
              <w:bottom w:w="120" w:type="dxa"/>
              <w:left w:w="150" w:type="dxa"/>
              <w:right w:w="150" w:type="dxa"/>
            </w:tcMar>
            <w:shd w:fill="F8F9FA"/>
          </w:tcPr>
          <w:p>
            <w:pPr>
              <w:jc w:val="center"/>
            </w:pPr>
            <w:r>
              <w:t>01-08-2026</w:t>
            </w:r>
          </w:p>
        </w:tc>
        <w:tc>
          <w:tcPr>
            <w:tcW w:type="dxa" w:w="2160"/>
            <w:tcMar>
              <w:top w:w="120" w:type="dxa"/>
              <w:bottom w:w="120" w:type="dxa"/>
              <w:left w:w="150" w:type="dxa"/>
              <w:right w:w="150" w:type="dxa"/>
            </w:tcMar>
            <w:shd w:fill="F8F9FA"/>
          </w:tcPr>
          <w:p>
            <w:pPr>
              <w:jc w:val="center"/>
            </w:pPr>
            <w:r>
              <w:t>15-08-2026</w:t>
            </w:r>
          </w:p>
        </w:tc>
        <w:tc>
          <w:tcPr>
            <w:tcW w:type="dxa" w:w="2160"/>
            <w:tcMar>
              <w:top w:w="120" w:type="dxa"/>
              <w:bottom w:w="120" w:type="dxa"/>
              <w:left w:w="150" w:type="dxa"/>
              <w:right w:w="150" w:type="dxa"/>
            </w:tcMar>
            <w:shd w:fill="F8F9FA"/>
          </w:tcPr>
          <w:p>
            <w:pPr>
              <w:jc w:val="center"/>
            </w:pPr>
            <w:r>
              <w:t>15 Days</w:t>
            </w:r>
          </w:p>
        </w:tc>
      </w:tr>
      <w:tr>
        <w:trPr>
          <w:cantSplit/>
        </w:trPr>
        <w:tc>
          <w:tcPr>
            <w:tcW w:type="dxa" w:w="3600"/>
            <w:tcMar>
              <w:top w:w="120" w:type="dxa"/>
              <w:bottom w:w="120" w:type="dxa"/>
              <w:left w:w="150" w:type="dxa"/>
              <w:right w:w="150" w:type="dxa"/>
            </w:tcMar>
            <w:shd w:fill="FFFFFF"/>
          </w:tcPr>
          <w:p>
            <w:pPr>
              <w:jc w:val="left"/>
            </w:pPr>
            <w:r>
              <w:t>Data Preprocessing &amp; Validation Logic</w:t>
            </w:r>
          </w:p>
        </w:tc>
        <w:tc>
          <w:tcPr>
            <w:tcW w:type="dxa" w:w="2160"/>
            <w:tcMar>
              <w:top w:w="120" w:type="dxa"/>
              <w:bottom w:w="120" w:type="dxa"/>
              <w:left w:w="150" w:type="dxa"/>
              <w:right w:w="150" w:type="dxa"/>
            </w:tcMar>
            <w:shd w:fill="FFFFFF"/>
          </w:tcPr>
          <w:p>
            <w:pPr>
              <w:jc w:val="center"/>
            </w:pPr>
            <w:r>
              <w:t>16-08-2026</w:t>
            </w:r>
          </w:p>
        </w:tc>
        <w:tc>
          <w:tcPr>
            <w:tcW w:type="dxa" w:w="2160"/>
            <w:tcMar>
              <w:top w:w="120" w:type="dxa"/>
              <w:bottom w:w="120" w:type="dxa"/>
              <w:left w:w="150" w:type="dxa"/>
              <w:right w:w="150" w:type="dxa"/>
            </w:tcMar>
            <w:shd w:fill="FFFFFF"/>
          </w:tcPr>
          <w:p>
            <w:pPr>
              <w:jc w:val="center"/>
            </w:pPr>
            <w:r>
              <w:t>25-08-2026</w:t>
            </w:r>
          </w:p>
        </w:tc>
        <w:tc>
          <w:tcPr>
            <w:tcW w:type="dxa" w:w="2160"/>
            <w:tcMar>
              <w:top w:w="120" w:type="dxa"/>
              <w:bottom w:w="120" w:type="dxa"/>
              <w:left w:w="150" w:type="dxa"/>
              <w:right w:w="150" w:type="dxa"/>
            </w:tcMar>
            <w:shd w:fill="FFFFFF"/>
          </w:tcPr>
          <w:p>
            <w:pPr>
              <w:jc w:val="center"/>
            </w:pPr>
            <w:r>
              <w:t>10 Days</w:t>
            </w:r>
          </w:p>
        </w:tc>
      </w:tr>
      <w:tr>
        <w:trPr>
          <w:cantSplit/>
        </w:trPr>
        <w:tc>
          <w:tcPr>
            <w:tcW w:type="dxa" w:w="3600"/>
            <w:tcMar>
              <w:top w:w="120" w:type="dxa"/>
              <w:bottom w:w="120" w:type="dxa"/>
              <w:left w:w="150" w:type="dxa"/>
              <w:right w:w="150" w:type="dxa"/>
            </w:tcMar>
            <w:shd w:fill="F8F9FA"/>
          </w:tcPr>
          <w:p>
            <w:pPr>
              <w:jc w:val="left"/>
            </w:pPr>
            <w:r>
              <w:t>ETL Pipeline &amp; Warehouse Schema Coding</w:t>
            </w:r>
          </w:p>
        </w:tc>
        <w:tc>
          <w:tcPr>
            <w:tcW w:type="dxa" w:w="2160"/>
            <w:tcMar>
              <w:top w:w="120" w:type="dxa"/>
              <w:bottom w:w="120" w:type="dxa"/>
              <w:left w:w="150" w:type="dxa"/>
              <w:right w:w="150" w:type="dxa"/>
            </w:tcMar>
            <w:shd w:fill="F8F9FA"/>
          </w:tcPr>
          <w:p>
            <w:pPr>
              <w:jc w:val="center"/>
            </w:pPr>
            <w:r>
              <w:t>26-08-2026</w:t>
            </w:r>
          </w:p>
        </w:tc>
        <w:tc>
          <w:tcPr>
            <w:tcW w:type="dxa" w:w="2160"/>
            <w:tcMar>
              <w:top w:w="120" w:type="dxa"/>
              <w:bottom w:w="120" w:type="dxa"/>
              <w:left w:w="150" w:type="dxa"/>
              <w:right w:w="150" w:type="dxa"/>
            </w:tcMar>
            <w:shd w:fill="F8F9FA"/>
          </w:tcPr>
          <w:p>
            <w:pPr>
              <w:jc w:val="center"/>
            </w:pPr>
            <w:r>
              <w:t>10-09-2026</w:t>
            </w:r>
          </w:p>
        </w:tc>
        <w:tc>
          <w:tcPr>
            <w:tcW w:type="dxa" w:w="2160"/>
            <w:tcMar>
              <w:top w:w="120" w:type="dxa"/>
              <w:bottom w:w="120" w:type="dxa"/>
              <w:left w:w="150" w:type="dxa"/>
              <w:right w:w="150" w:type="dxa"/>
            </w:tcMar>
            <w:shd w:fill="F8F9FA"/>
          </w:tcPr>
          <w:p>
            <w:pPr>
              <w:jc w:val="center"/>
            </w:pPr>
            <w:r>
              <w:t>16 Days</w:t>
            </w:r>
          </w:p>
        </w:tc>
      </w:tr>
      <w:tr>
        <w:trPr>
          <w:cantSplit/>
        </w:trPr>
        <w:tc>
          <w:tcPr>
            <w:tcW w:type="dxa" w:w="3600"/>
            <w:tcMar>
              <w:top w:w="120" w:type="dxa"/>
              <w:bottom w:w="120" w:type="dxa"/>
              <w:left w:w="150" w:type="dxa"/>
              <w:right w:w="150" w:type="dxa"/>
            </w:tcMar>
            <w:shd w:fill="FFFFFF"/>
          </w:tcPr>
          <w:p>
            <w:pPr>
              <w:jc w:val="left"/>
            </w:pPr>
            <w:r>
              <w:t>Analytical SQL Query Formulations</w:t>
            </w:r>
          </w:p>
        </w:tc>
        <w:tc>
          <w:tcPr>
            <w:tcW w:type="dxa" w:w="2160"/>
            <w:tcMar>
              <w:top w:w="120" w:type="dxa"/>
              <w:bottom w:w="120" w:type="dxa"/>
              <w:left w:w="150" w:type="dxa"/>
              <w:right w:w="150" w:type="dxa"/>
            </w:tcMar>
            <w:shd w:fill="FFFFFF"/>
          </w:tcPr>
          <w:p>
            <w:pPr>
              <w:jc w:val="center"/>
            </w:pPr>
            <w:r>
              <w:t>11-09-2026</w:t>
            </w:r>
          </w:p>
        </w:tc>
        <w:tc>
          <w:tcPr>
            <w:tcW w:type="dxa" w:w="2160"/>
            <w:tcMar>
              <w:top w:w="120" w:type="dxa"/>
              <w:bottom w:w="120" w:type="dxa"/>
              <w:left w:w="150" w:type="dxa"/>
              <w:right w:w="150" w:type="dxa"/>
            </w:tcMar>
            <w:shd w:fill="FFFFFF"/>
          </w:tcPr>
          <w:p>
            <w:pPr>
              <w:jc w:val="center"/>
            </w:pPr>
            <w:r>
              <w:t>20-09-2026</w:t>
            </w:r>
          </w:p>
        </w:tc>
        <w:tc>
          <w:tcPr>
            <w:tcW w:type="dxa" w:w="2160"/>
            <w:tcMar>
              <w:top w:w="120" w:type="dxa"/>
              <w:bottom w:w="120" w:type="dxa"/>
              <w:left w:w="150" w:type="dxa"/>
              <w:right w:w="150" w:type="dxa"/>
            </w:tcMar>
            <w:shd w:fill="FFFFFF"/>
          </w:tcPr>
          <w:p>
            <w:pPr>
              <w:jc w:val="center"/>
            </w:pPr>
            <w:r>
              <w:t>10 Days</w:t>
            </w:r>
          </w:p>
        </w:tc>
      </w:tr>
      <w:tr>
        <w:trPr>
          <w:cantSplit/>
        </w:trPr>
        <w:tc>
          <w:tcPr>
            <w:tcW w:type="dxa" w:w="3600"/>
            <w:tcMar>
              <w:top w:w="120" w:type="dxa"/>
              <w:bottom w:w="120" w:type="dxa"/>
              <w:left w:w="150" w:type="dxa"/>
              <w:right w:w="150" w:type="dxa"/>
            </w:tcMar>
            <w:shd w:fill="F8F9FA"/>
          </w:tcPr>
          <w:p>
            <w:pPr>
              <w:jc w:val="left"/>
            </w:pPr>
            <w:r>
              <w:t>Data Mining (DT, NB, KMeans, Apriori)</w:t>
            </w:r>
          </w:p>
        </w:tc>
        <w:tc>
          <w:tcPr>
            <w:tcW w:type="dxa" w:w="2160"/>
            <w:tcMar>
              <w:top w:w="120" w:type="dxa"/>
              <w:bottom w:w="120" w:type="dxa"/>
              <w:left w:w="150" w:type="dxa"/>
              <w:right w:w="150" w:type="dxa"/>
            </w:tcMar>
            <w:shd w:fill="F8F9FA"/>
          </w:tcPr>
          <w:p>
            <w:pPr>
              <w:jc w:val="center"/>
            </w:pPr>
            <w:r>
              <w:t>21-09-2026</w:t>
            </w:r>
          </w:p>
        </w:tc>
        <w:tc>
          <w:tcPr>
            <w:tcW w:type="dxa" w:w="2160"/>
            <w:tcMar>
              <w:top w:w="120" w:type="dxa"/>
              <w:bottom w:w="120" w:type="dxa"/>
              <w:left w:w="150" w:type="dxa"/>
              <w:right w:w="150" w:type="dxa"/>
            </w:tcMar>
            <w:shd w:fill="F8F9FA"/>
          </w:tcPr>
          <w:p>
            <w:pPr>
              <w:jc w:val="center"/>
            </w:pPr>
            <w:r>
              <w:t>05-10-2026</w:t>
            </w:r>
          </w:p>
        </w:tc>
        <w:tc>
          <w:tcPr>
            <w:tcW w:type="dxa" w:w="2160"/>
            <w:tcMar>
              <w:top w:w="120" w:type="dxa"/>
              <w:bottom w:w="120" w:type="dxa"/>
              <w:left w:w="150" w:type="dxa"/>
              <w:right w:w="150" w:type="dxa"/>
            </w:tcMar>
            <w:shd w:fill="F8F9FA"/>
          </w:tcPr>
          <w:p>
            <w:pPr>
              <w:jc w:val="center"/>
            </w:pPr>
            <w:r>
              <w:t>15 Days</w:t>
            </w:r>
          </w:p>
        </w:tc>
      </w:tr>
      <w:tr>
        <w:trPr>
          <w:cantSplit/>
        </w:trPr>
        <w:tc>
          <w:tcPr>
            <w:tcW w:type="dxa" w:w="3600"/>
            <w:tcMar>
              <w:top w:w="120" w:type="dxa"/>
              <w:bottom w:w="120" w:type="dxa"/>
              <w:left w:w="150" w:type="dxa"/>
              <w:right w:w="150" w:type="dxa"/>
            </w:tcMar>
            <w:shd w:fill="FFFFFF"/>
          </w:tcPr>
          <w:p>
            <w:pPr>
              <w:jc w:val="left"/>
            </w:pPr>
            <w:r>
              <w:t>Flask Backend &amp; HTML5/CSS GUI Portal</w:t>
            </w:r>
          </w:p>
        </w:tc>
        <w:tc>
          <w:tcPr>
            <w:tcW w:type="dxa" w:w="2160"/>
            <w:tcMar>
              <w:top w:w="120" w:type="dxa"/>
              <w:bottom w:w="120" w:type="dxa"/>
              <w:left w:w="150" w:type="dxa"/>
              <w:right w:w="150" w:type="dxa"/>
            </w:tcMar>
            <w:shd w:fill="FFFFFF"/>
          </w:tcPr>
          <w:p>
            <w:pPr>
              <w:jc w:val="center"/>
            </w:pPr>
            <w:r>
              <w:t>06-10-2026</w:t>
            </w:r>
          </w:p>
        </w:tc>
        <w:tc>
          <w:tcPr>
            <w:tcW w:type="dxa" w:w="2160"/>
            <w:tcMar>
              <w:top w:w="120" w:type="dxa"/>
              <w:bottom w:w="120" w:type="dxa"/>
              <w:left w:w="150" w:type="dxa"/>
              <w:right w:w="150" w:type="dxa"/>
            </w:tcMar>
            <w:shd w:fill="FFFFFF"/>
          </w:tcPr>
          <w:p>
            <w:pPr>
              <w:jc w:val="center"/>
            </w:pPr>
            <w:r>
              <w:t>20-10-2026</w:t>
            </w:r>
          </w:p>
        </w:tc>
        <w:tc>
          <w:tcPr>
            <w:tcW w:type="dxa" w:w="2160"/>
            <w:tcMar>
              <w:top w:w="120" w:type="dxa"/>
              <w:bottom w:w="120" w:type="dxa"/>
              <w:left w:w="150" w:type="dxa"/>
              <w:right w:w="150" w:type="dxa"/>
            </w:tcMar>
            <w:shd w:fill="FFFFFF"/>
          </w:tcPr>
          <w:p>
            <w:pPr>
              <w:jc w:val="center"/>
            </w:pPr>
            <w:r>
              <w:t>15 Days</w:t>
            </w:r>
          </w:p>
        </w:tc>
      </w:tr>
      <w:tr>
        <w:trPr>
          <w:cantSplit/>
        </w:trPr>
        <w:tc>
          <w:tcPr>
            <w:tcW w:type="dxa" w:w="3600"/>
            <w:tcMar>
              <w:top w:w="120" w:type="dxa"/>
              <w:bottom w:w="120" w:type="dxa"/>
              <w:left w:w="150" w:type="dxa"/>
              <w:right w:w="150" w:type="dxa"/>
            </w:tcMar>
            <w:shd w:fill="F8F9FA"/>
          </w:tcPr>
          <w:p>
            <w:pPr>
              <w:jc w:val="left"/>
            </w:pPr>
            <w:r>
              <w:t>System Integration, Testing &amp; Audit</w:t>
            </w:r>
          </w:p>
        </w:tc>
        <w:tc>
          <w:tcPr>
            <w:tcW w:type="dxa" w:w="2160"/>
            <w:tcMar>
              <w:top w:w="120" w:type="dxa"/>
              <w:bottom w:w="120" w:type="dxa"/>
              <w:left w:w="150" w:type="dxa"/>
              <w:right w:w="150" w:type="dxa"/>
            </w:tcMar>
            <w:shd w:fill="F8F9FA"/>
          </w:tcPr>
          <w:p>
            <w:pPr>
              <w:jc w:val="center"/>
            </w:pPr>
            <w:r>
              <w:t>21-10-2026</w:t>
            </w:r>
          </w:p>
        </w:tc>
        <w:tc>
          <w:tcPr>
            <w:tcW w:type="dxa" w:w="2160"/>
            <w:tcMar>
              <w:top w:w="120" w:type="dxa"/>
              <w:bottom w:w="120" w:type="dxa"/>
              <w:left w:w="150" w:type="dxa"/>
              <w:right w:w="150" w:type="dxa"/>
            </w:tcMar>
            <w:shd w:fill="F8F9FA"/>
          </w:tcPr>
          <w:p>
            <w:pPr>
              <w:jc w:val="center"/>
            </w:pPr>
            <w:r>
              <w:t>31-10-2026</w:t>
            </w:r>
          </w:p>
        </w:tc>
        <w:tc>
          <w:tcPr>
            <w:tcW w:type="dxa" w:w="2160"/>
            <w:tcMar>
              <w:top w:w="120" w:type="dxa"/>
              <w:bottom w:w="120" w:type="dxa"/>
              <w:left w:w="150" w:type="dxa"/>
              <w:right w:w="150" w:type="dxa"/>
            </w:tcMar>
            <w:shd w:fill="F8F9FA"/>
          </w:tcPr>
          <w:p>
            <w:pPr>
              <w:jc w:val="center"/>
            </w:pPr>
            <w:r>
              <w:t>11 Days</w:t>
            </w:r>
          </w:p>
        </w:tc>
      </w:tr>
      <w:tr>
        <w:trPr>
          <w:cantSplit/>
        </w:trPr>
        <w:tc>
          <w:tcPr>
            <w:tcW w:type="dxa" w:w="3600"/>
            <w:tcMar>
              <w:top w:w="120" w:type="dxa"/>
              <w:bottom w:w="120" w:type="dxa"/>
              <w:left w:w="150" w:type="dxa"/>
              <w:right w:w="150" w:type="dxa"/>
            </w:tcMar>
            <w:shd w:fill="FFFFFF"/>
          </w:tcPr>
          <w:p>
            <w:pPr>
              <w:jc w:val="left"/>
            </w:pPr>
            <w:r>
              <w:t>Documentation &amp; Final Report Drafting</w:t>
            </w:r>
          </w:p>
        </w:tc>
        <w:tc>
          <w:tcPr>
            <w:tcW w:type="dxa" w:w="2160"/>
            <w:tcMar>
              <w:top w:w="120" w:type="dxa"/>
              <w:bottom w:w="120" w:type="dxa"/>
              <w:left w:w="150" w:type="dxa"/>
              <w:right w:w="150" w:type="dxa"/>
            </w:tcMar>
            <w:shd w:fill="FFFFFF"/>
          </w:tcPr>
          <w:p>
            <w:pPr>
              <w:jc w:val="center"/>
            </w:pPr>
            <w:r>
              <w:t>01-11-2026</w:t>
            </w:r>
          </w:p>
        </w:tc>
        <w:tc>
          <w:tcPr>
            <w:tcW w:type="dxa" w:w="2160"/>
            <w:tcMar>
              <w:top w:w="120" w:type="dxa"/>
              <w:bottom w:w="120" w:type="dxa"/>
              <w:left w:w="150" w:type="dxa"/>
              <w:right w:w="150" w:type="dxa"/>
            </w:tcMar>
            <w:shd w:fill="FFFFFF"/>
          </w:tcPr>
          <w:p>
            <w:pPr>
              <w:jc w:val="center"/>
            </w:pPr>
            <w:r>
              <w:t>15-11-2026</w:t>
            </w:r>
          </w:p>
        </w:tc>
        <w:tc>
          <w:tcPr>
            <w:tcW w:type="dxa" w:w="2160"/>
            <w:tcMar>
              <w:top w:w="120" w:type="dxa"/>
              <w:bottom w:w="120" w:type="dxa"/>
              <w:left w:w="150" w:type="dxa"/>
              <w:right w:w="150" w:type="dxa"/>
            </w:tcMar>
            <w:shd w:fill="FFFFFF"/>
          </w:tcPr>
          <w:p>
            <w:pPr>
              <w:jc w:val="center"/>
            </w:pPr>
            <w:r>
              <w:t>15 Days</w:t>
            </w:r>
          </w:p>
        </w:tc>
      </w:tr>
    </w:tbl>
    <w:p>
      <w:pPr>
        <w:spacing w:before="16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_gantt.png"/>
                    <pic:cNvPicPr/>
                  </pic:nvPicPr>
                  <pic:blipFill>
                    <a:blip r:embed="rId11"/>
                    <a:stretch>
                      <a:fillRect/>
                    </a:stretch>
                  </pic:blipFill>
                  <pic:spPr>
                    <a:xfrm>
                      <a:off x="0" y="0"/>
                      <a:ext cx="5303520" cy="2651760"/>
                    </a:xfrm>
                    <a:prstGeom prst="rect"/>
                  </pic:spPr>
                </pic:pic>
              </a:graphicData>
            </a:graphic>
          </wp:inline>
        </w:drawing>
      </w:r>
    </w:p>
    <w:p>
      <w:pPr>
        <w:keepNext/>
        <w:spacing w:before="40" w:after="200"/>
        <w:jc w:val="center"/>
      </w:pPr>
      <w:r>
        <w:rPr>
          <w:rFonts w:ascii="Times New Roman" w:hAnsi="Times New Roman"/>
          <w:b/>
          <w:color w:val="282828"/>
          <w:sz w:val="22"/>
        </w:rPr>
        <w:t>Figure 3.4: Gantt Chart of Project Development Phases</w:t>
      </w:r>
    </w:p>
    <w:p>
      <w:pPr>
        <w:keepNext/>
        <w:spacing w:before="240" w:after="120"/>
      </w:pPr>
      <w:r>
        <w:rPr>
          <w:rFonts w:ascii="Times New Roman" w:hAnsi="Times New Roman"/>
          <w:b/>
          <w:color w:val="2C3E50"/>
          <w:sz w:val="24"/>
        </w:rPr>
        <w:t>3.3.4 Design and UML Diagram</w:t>
      </w:r>
    </w:p>
    <w:p>
      <w:pPr>
        <w:spacing w:before="0" w:after="120" w:line="276" w:lineRule="auto"/>
        <w:jc w:val="both"/>
      </w:pPr>
      <w:r>
        <w:rPr>
          <w:rFonts w:ascii="Times New Roman" w:hAnsi="Times New Roman"/>
          <w:b w:val="0"/>
          <w:i w:val="0"/>
          <w:color w:val="000000"/>
          <w:sz w:val="24"/>
        </w:rPr>
        <w:t>To formally document system interactions, message order, and data persistence structures, Figure 3.5 provides the Sequence Diagram showing the multi-tier request-response cycle, and Figure 3.8 provides the Entity-Relationship (ER) Diagram representing the operational transactional database.</w:t>
      </w:r>
    </w:p>
    <w:p>
      <w:pPr>
        <w:spacing w:before="160" w:after="8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_sequence.png"/>
                    <pic:cNvPicPr/>
                  </pic:nvPicPr>
                  <pic:blipFill>
                    <a:blip r:embed="rId12"/>
                    <a:stretch>
                      <a:fillRect/>
                    </a:stretch>
                  </pic:blipFill>
                  <pic:spPr>
                    <a:xfrm>
                      <a:off x="0" y="0"/>
                      <a:ext cx="5029200" cy="3352800"/>
                    </a:xfrm>
                    <a:prstGeom prst="rect"/>
                  </pic:spPr>
                </pic:pic>
              </a:graphicData>
            </a:graphic>
          </wp:inline>
        </w:drawing>
      </w:r>
    </w:p>
    <w:p>
      <w:pPr>
        <w:keepNext/>
        <w:spacing w:before="40" w:after="200"/>
        <w:jc w:val="center"/>
      </w:pPr>
      <w:r>
        <w:rPr>
          <w:rFonts w:ascii="Times New Roman" w:hAnsi="Times New Roman"/>
          <w:b/>
          <w:color w:val="282828"/>
          <w:sz w:val="22"/>
        </w:rPr>
        <w:t>Figure 3.5: Sequence Diagram Illustrating Request-Response and Mining Workflow</w:t>
      </w:r>
    </w:p>
    <w:p>
      <w:pPr>
        <w:spacing w:before="160" w:after="80"/>
        <w:jc w:val="center"/>
      </w:pPr>
      <w:r>
        <w:drawing>
          <wp:inline xmlns:a="http://schemas.openxmlformats.org/drawingml/2006/main" xmlns:pic="http://schemas.openxmlformats.org/drawingml/2006/picture">
            <wp:extent cx="5029200" cy="3268980"/>
            <wp:docPr id="5" name="Picture 5"/>
            <wp:cNvGraphicFramePr>
              <a:graphicFrameLocks noChangeAspect="1"/>
            </wp:cNvGraphicFramePr>
            <a:graphic>
              <a:graphicData uri="http://schemas.openxmlformats.org/drawingml/2006/picture">
                <pic:pic>
                  <pic:nvPicPr>
                    <pic:cNvPr id="0" name="fig_er.png"/>
                    <pic:cNvPicPr/>
                  </pic:nvPicPr>
                  <pic:blipFill>
                    <a:blip r:embed="rId13"/>
                    <a:stretch>
                      <a:fillRect/>
                    </a:stretch>
                  </pic:blipFill>
                  <pic:spPr>
                    <a:xfrm>
                      <a:off x="0" y="0"/>
                      <a:ext cx="5029200" cy="3268980"/>
                    </a:xfrm>
                    <a:prstGeom prst="rect"/>
                  </pic:spPr>
                </pic:pic>
              </a:graphicData>
            </a:graphic>
          </wp:inline>
        </w:drawing>
      </w:r>
    </w:p>
    <w:p>
      <w:pPr>
        <w:keepNext/>
        <w:spacing w:before="40" w:after="200"/>
        <w:jc w:val="center"/>
      </w:pPr>
      <w:r>
        <w:rPr>
          <w:rFonts w:ascii="Times New Roman" w:hAnsi="Times New Roman"/>
          <w:b/>
          <w:color w:val="282828"/>
          <w:sz w:val="22"/>
        </w:rPr>
        <w:t>Figure 3.8: Operational Relational Database Schema (OLTP Entity-Relationship Diagram)</w:t>
      </w:r>
    </w:p>
    <w:p>
      <w:r>
        <w:br w:type="page"/>
      </w:r>
    </w:p>
    <w:p>
      <w:pPr>
        <w:spacing w:before="3600"/>
        <w:jc w:val="center"/>
      </w:pPr>
      <w:r>
        <w:rPr>
          <w:rFonts w:ascii="Times New Roman" w:hAnsi="Times New Roman"/>
          <w:b/>
          <w:sz w:val="36"/>
        </w:rPr>
        <w:t>CHAPTER 4</w:t>
        <w:br/>
        <w:br/>
        <w:t>SYSTEM IMPLEMENTATION</w:t>
      </w:r>
    </w:p>
    <w:p>
      <w:r>
        <w:br w:type="page"/>
      </w:r>
    </w:p>
    <w:p>
      <w:pPr>
        <w:jc w:val="center"/>
      </w:pPr>
      <w:r>
        <w:rPr>
          <w:rFonts w:ascii="Times New Roman" w:hAnsi="Times New Roman"/>
          <w:sz w:val="22"/>
        </w:rPr>
        <w:t>17</w:t>
        <w:br/>
      </w:r>
    </w:p>
    <w:p>
      <w:pPr>
        <w:keepNext/>
        <w:spacing w:before="200" w:after="300"/>
      </w:pPr>
      <w:r>
        <w:rPr>
          <w:rFonts w:ascii="Times New Roman" w:hAnsi="Times New Roman"/>
          <w:b/>
          <w:color w:val="2C3E50"/>
          <w:sz w:val="32"/>
        </w:rPr>
        <w:t>SYSTEM IMPLEMENTATION</w:t>
      </w:r>
    </w:p>
    <w:p>
      <w:pPr>
        <w:spacing w:before="0" w:after="120" w:line="276" w:lineRule="auto"/>
        <w:jc w:val="both"/>
      </w:pPr>
      <w:r>
        <w:rPr>
          <w:rFonts w:ascii="Times New Roman" w:hAnsi="Times New Roman"/>
          <w:b w:val="0"/>
          <w:i w:val="0"/>
          <w:color w:val="000000"/>
          <w:sz w:val="24"/>
        </w:rPr>
        <w:t>System implementation was executed across two synchronized layers: a robust Python backend managing operational persistence, automated ETL cleansing, warehouse loading, and data mining; and an interactive frontend delivering responsive dashboards, dynamic filters, and visual analytics.</w:t>
      </w:r>
    </w:p>
    <w:p>
      <w:pPr>
        <w:keepNext/>
        <w:spacing w:before="280" w:after="160"/>
      </w:pPr>
      <w:r>
        <w:rPr>
          <w:rFonts w:ascii="Times New Roman" w:hAnsi="Times New Roman"/>
          <w:b/>
          <w:color w:val="2C3E50"/>
          <w:sz w:val="26"/>
        </w:rPr>
        <w:t>4.1 Making of Back End</w:t>
      </w:r>
    </w:p>
    <w:p>
      <w:pPr>
        <w:spacing w:before="0" w:after="120" w:line="276" w:lineRule="auto"/>
        <w:jc w:val="both"/>
      </w:pPr>
      <w:r>
        <w:rPr>
          <w:rFonts w:ascii="Times New Roman" w:hAnsi="Times New Roman"/>
          <w:b w:val="0"/>
          <w:i w:val="0"/>
          <w:color w:val="000000"/>
          <w:sz w:val="24"/>
        </w:rPr>
        <w:t>The backend is implemented in Python utilizing the Flask web framework, SQLite relational database engine, Pandas for high-performance tabular transformations, and Scikit-Learn / Mlxtend for machine learning algorithms.</w:t>
      </w:r>
    </w:p>
    <w:p>
      <w:pPr>
        <w:keepNext/>
        <w:spacing w:before="240" w:after="120"/>
      </w:pPr>
      <w:r>
        <w:rPr>
          <w:rFonts w:ascii="Times New Roman" w:hAnsi="Times New Roman"/>
          <w:b/>
          <w:color w:val="2C3E50"/>
          <w:sz w:val="24"/>
        </w:rPr>
        <w:t>4.1.1 Operational Database</w:t>
      </w:r>
    </w:p>
    <w:p>
      <w:pPr>
        <w:spacing w:before="0" w:after="120" w:line="276" w:lineRule="auto"/>
        <w:jc w:val="both"/>
      </w:pPr>
      <w:r>
        <w:rPr>
          <w:rFonts w:ascii="Times New Roman" w:hAnsi="Times New Roman"/>
          <w:b w:val="0"/>
          <w:i w:val="0"/>
          <w:color w:val="000000"/>
          <w:sz w:val="24"/>
        </w:rPr>
        <w:t>The operational database (localdrop_operational.db) models day-to-day marketplace transactions. It contains five normalized tables: CUSTOMERS, SUPPLIERS, PRODUCTS, ORDERS, and SALES. Table 4.1 describes their schemas and data definitions.</w:t>
      </w:r>
    </w:p>
    <w:p>
      <w:pPr>
        <w:spacing w:before="160" w:after="80"/>
      </w:pPr>
      <w:r>
        <w:rPr>
          <w:rFonts w:ascii="Times New Roman" w:hAnsi="Times New Roman"/>
          <w:b/>
          <w:sz w:val="22"/>
        </w:rPr>
        <w:t>Table 4.1: Operational Database Tables &amp; Field Definitions</w:t>
      </w:r>
    </w:p>
    <w:tbl>
      <w:tblPr>
        <w:tblW w:type="auto" w:w="0"/>
        <w:jc w:val="center"/>
        <w:tblLook w:firstColumn="1" w:firstRow="1" w:lastColumn="0" w:lastRow="0" w:noHBand="0" w:noVBand="1" w:val="04A0"/>
      </w:tblPr>
      <w:tblGrid>
        <w:gridCol w:w="2185"/>
        <w:gridCol w:w="2185"/>
        <w:gridCol w:w="2185"/>
        <w:gridCol w:w="2185"/>
      </w:tblGrid>
      <w:tr>
        <w:trPr>
          <w:cantSplit/>
          <w:tblHeader/>
        </w:trPr>
        <w:tc>
          <w:tcPr>
            <w:tcW w:type="dxa" w:w="2160"/>
            <w:tcMar>
              <w:top w:w="120" w:type="dxa"/>
              <w:bottom w:w="120" w:type="dxa"/>
              <w:left w:w="150" w:type="dxa"/>
              <w:right w:w="150" w:type="dxa"/>
            </w:tcMar>
            <w:shd w:fill="2C3E50"/>
          </w:tcPr>
          <w:p>
            <w:pPr>
              <w:jc w:val="center"/>
            </w:pPr>
            <w:r>
              <w:t>Table Name</w:t>
            </w:r>
          </w:p>
        </w:tc>
        <w:tc>
          <w:tcPr>
            <w:tcW w:type="dxa" w:w="3168"/>
            <w:tcMar>
              <w:top w:w="120" w:type="dxa"/>
              <w:bottom w:w="120" w:type="dxa"/>
              <w:left w:w="150" w:type="dxa"/>
              <w:right w:w="150" w:type="dxa"/>
            </w:tcMar>
            <w:shd w:fill="2C3E50"/>
          </w:tcPr>
          <w:p>
            <w:pPr>
              <w:jc w:val="center"/>
            </w:pPr>
            <w:r>
              <w:t>Attributes &amp; Keys</w:t>
            </w:r>
          </w:p>
        </w:tc>
        <w:tc>
          <w:tcPr>
            <w:tcW w:type="dxa" w:w="1584"/>
            <w:tcMar>
              <w:top w:w="120" w:type="dxa"/>
              <w:bottom w:w="120" w:type="dxa"/>
              <w:left w:w="150" w:type="dxa"/>
              <w:right w:w="150" w:type="dxa"/>
            </w:tcMar>
            <w:shd w:fill="2C3E50"/>
          </w:tcPr>
          <w:p>
            <w:pPr>
              <w:jc w:val="center"/>
            </w:pPr>
            <w:r>
              <w:t>Volume</w:t>
            </w:r>
          </w:p>
        </w:tc>
        <w:tc>
          <w:tcPr>
            <w:tcW w:type="dxa" w:w="3168"/>
            <w:tcMar>
              <w:top w:w="120" w:type="dxa"/>
              <w:bottom w:w="120" w:type="dxa"/>
              <w:left w:w="150" w:type="dxa"/>
              <w:right w:w="150" w:type="dxa"/>
            </w:tcMar>
            <w:shd w:fill="2C3E50"/>
          </w:tcPr>
          <w:p>
            <w:pPr>
              <w:jc w:val="center"/>
            </w:pPr>
            <w:r>
              <w:t>Operational Description</w:t>
            </w:r>
          </w:p>
        </w:tc>
      </w:tr>
      <w:tr>
        <w:trPr>
          <w:cantSplit/>
        </w:trPr>
        <w:tc>
          <w:tcPr>
            <w:tcW w:type="dxa" w:w="2160"/>
            <w:tcMar>
              <w:top w:w="120" w:type="dxa"/>
              <w:bottom w:w="120" w:type="dxa"/>
              <w:left w:w="150" w:type="dxa"/>
              <w:right w:w="150" w:type="dxa"/>
            </w:tcMar>
            <w:shd w:fill="F8F9FA"/>
          </w:tcPr>
          <w:p>
            <w:pPr>
              <w:jc w:val="center"/>
            </w:pPr>
            <w:r>
              <w:t>CUSTOMERS</w:t>
            </w:r>
          </w:p>
        </w:tc>
        <w:tc>
          <w:tcPr>
            <w:tcW w:type="dxa" w:w="3168"/>
            <w:tcMar>
              <w:top w:w="120" w:type="dxa"/>
              <w:bottom w:w="120" w:type="dxa"/>
              <w:left w:w="150" w:type="dxa"/>
              <w:right w:w="150" w:type="dxa"/>
            </w:tcMar>
            <w:shd w:fill="F8F9FA"/>
          </w:tcPr>
          <w:p>
            <w:pPr>
              <w:jc w:val="left"/>
            </w:pPr>
            <w:r>
              <w:t>customer_id (PK), customer_name, city, state, registration_date</w:t>
            </w:r>
          </w:p>
        </w:tc>
        <w:tc>
          <w:tcPr>
            <w:tcW w:type="dxa" w:w="1584"/>
            <w:tcMar>
              <w:top w:w="120" w:type="dxa"/>
              <w:bottom w:w="120" w:type="dxa"/>
              <w:left w:w="150" w:type="dxa"/>
              <w:right w:w="150" w:type="dxa"/>
            </w:tcMar>
            <w:shd w:fill="F8F9FA"/>
          </w:tcPr>
          <w:p>
            <w:pPr>
              <w:jc w:val="center"/>
            </w:pPr>
            <w:r>
              <w:t>50 Records</w:t>
            </w:r>
          </w:p>
        </w:tc>
        <w:tc>
          <w:tcPr>
            <w:tcW w:type="dxa" w:w="3168"/>
            <w:tcMar>
              <w:top w:w="120" w:type="dxa"/>
              <w:bottom w:w="120" w:type="dxa"/>
              <w:left w:w="150" w:type="dxa"/>
              <w:right w:w="150" w:type="dxa"/>
            </w:tcMar>
            <w:shd w:fill="F8F9FA"/>
          </w:tcPr>
          <w:p>
            <w:pPr>
              <w:jc w:val="both"/>
            </w:pPr>
            <w:r>
              <w:t>Stores registered customer demographics across 12 Indian metropolitan cities.</w:t>
            </w:r>
          </w:p>
        </w:tc>
      </w:tr>
      <w:tr>
        <w:trPr>
          <w:cantSplit/>
        </w:trPr>
        <w:tc>
          <w:tcPr>
            <w:tcW w:type="dxa" w:w="2160"/>
            <w:tcMar>
              <w:top w:w="120" w:type="dxa"/>
              <w:bottom w:w="120" w:type="dxa"/>
              <w:left w:w="150" w:type="dxa"/>
              <w:right w:w="150" w:type="dxa"/>
            </w:tcMar>
            <w:shd w:fill="FFFFFF"/>
          </w:tcPr>
          <w:p>
            <w:pPr>
              <w:jc w:val="center"/>
            </w:pPr>
            <w:r>
              <w:t>SUPPLIERS</w:t>
            </w:r>
          </w:p>
        </w:tc>
        <w:tc>
          <w:tcPr>
            <w:tcW w:type="dxa" w:w="3168"/>
            <w:tcMar>
              <w:top w:w="120" w:type="dxa"/>
              <w:bottom w:w="120" w:type="dxa"/>
              <w:left w:w="150" w:type="dxa"/>
              <w:right w:w="150" w:type="dxa"/>
            </w:tcMar>
            <w:shd w:fill="FFFFFF"/>
          </w:tcPr>
          <w:p>
            <w:pPr>
              <w:jc w:val="left"/>
            </w:pPr>
            <w:r>
              <w:t>supplier_id (PK), supplier_name, city, state, supplier_rating</w:t>
            </w:r>
          </w:p>
        </w:tc>
        <w:tc>
          <w:tcPr>
            <w:tcW w:type="dxa" w:w="1584"/>
            <w:tcMar>
              <w:top w:w="120" w:type="dxa"/>
              <w:bottom w:w="120" w:type="dxa"/>
              <w:left w:w="150" w:type="dxa"/>
              <w:right w:w="150" w:type="dxa"/>
            </w:tcMar>
            <w:shd w:fill="FFFFFF"/>
          </w:tcPr>
          <w:p>
            <w:pPr>
              <w:jc w:val="center"/>
            </w:pPr>
            <w:r>
              <w:t>15 Records</w:t>
            </w:r>
          </w:p>
        </w:tc>
        <w:tc>
          <w:tcPr>
            <w:tcW w:type="dxa" w:w="3168"/>
            <w:tcMar>
              <w:top w:w="120" w:type="dxa"/>
              <w:bottom w:w="120" w:type="dxa"/>
              <w:left w:w="150" w:type="dxa"/>
              <w:right w:w="150" w:type="dxa"/>
            </w:tcMar>
            <w:shd w:fill="FFFFFF"/>
          </w:tcPr>
          <w:p>
            <w:pPr>
              <w:jc w:val="both"/>
            </w:pPr>
            <w:r>
              <w:t>Tracks regional dropshipping suppliers, warehouse locations, and quality ratings (3.0-5.0).</w:t>
            </w:r>
          </w:p>
        </w:tc>
      </w:tr>
      <w:tr>
        <w:trPr>
          <w:cantSplit/>
        </w:trPr>
        <w:tc>
          <w:tcPr>
            <w:tcW w:type="dxa" w:w="2160"/>
            <w:tcMar>
              <w:top w:w="120" w:type="dxa"/>
              <w:bottom w:w="120" w:type="dxa"/>
              <w:left w:w="150" w:type="dxa"/>
              <w:right w:w="150" w:type="dxa"/>
            </w:tcMar>
            <w:shd w:fill="F8F9FA"/>
          </w:tcPr>
          <w:p>
            <w:pPr>
              <w:jc w:val="center"/>
            </w:pPr>
            <w:r>
              <w:t>PRODUCTS</w:t>
            </w:r>
          </w:p>
        </w:tc>
        <w:tc>
          <w:tcPr>
            <w:tcW w:type="dxa" w:w="3168"/>
            <w:tcMar>
              <w:top w:w="120" w:type="dxa"/>
              <w:bottom w:w="120" w:type="dxa"/>
              <w:left w:w="150" w:type="dxa"/>
              <w:right w:w="150" w:type="dxa"/>
            </w:tcMar>
            <w:shd w:fill="F8F9FA"/>
          </w:tcPr>
          <w:p>
            <w:pPr>
              <w:jc w:val="left"/>
            </w:pPr>
            <w:r>
              <w:t>product_id (PK), product_name, category, supplier_id (FK), price, cost_price, stock_quantity</w:t>
            </w:r>
          </w:p>
        </w:tc>
        <w:tc>
          <w:tcPr>
            <w:tcW w:type="dxa" w:w="1584"/>
            <w:tcMar>
              <w:top w:w="120" w:type="dxa"/>
              <w:bottom w:w="120" w:type="dxa"/>
              <w:left w:w="150" w:type="dxa"/>
              <w:right w:w="150" w:type="dxa"/>
            </w:tcMar>
            <w:shd w:fill="F8F9FA"/>
          </w:tcPr>
          <w:p>
            <w:pPr>
              <w:jc w:val="center"/>
            </w:pPr>
            <w:r>
              <w:t>10 Records</w:t>
            </w:r>
          </w:p>
        </w:tc>
        <w:tc>
          <w:tcPr>
            <w:tcW w:type="dxa" w:w="3168"/>
            <w:tcMar>
              <w:top w:w="120" w:type="dxa"/>
              <w:bottom w:w="120" w:type="dxa"/>
              <w:left w:w="150" w:type="dxa"/>
              <w:right w:w="150" w:type="dxa"/>
            </w:tcMar>
            <w:shd w:fill="F8F9FA"/>
          </w:tcPr>
          <w:p>
            <w:pPr>
              <w:jc w:val="both"/>
            </w:pPr>
            <w:r>
              <w:t>Maintains product catalog across Electronics, Accessories, Home Office, and Travel.</w:t>
            </w:r>
          </w:p>
        </w:tc>
      </w:tr>
      <w:tr>
        <w:trPr>
          <w:cantSplit/>
        </w:trPr>
        <w:tc>
          <w:tcPr>
            <w:tcW w:type="dxa" w:w="2160"/>
            <w:tcMar>
              <w:top w:w="120" w:type="dxa"/>
              <w:bottom w:w="120" w:type="dxa"/>
              <w:left w:w="150" w:type="dxa"/>
              <w:right w:w="150" w:type="dxa"/>
            </w:tcMar>
            <w:shd w:fill="FFFFFF"/>
          </w:tcPr>
          <w:p>
            <w:pPr>
              <w:jc w:val="center"/>
            </w:pPr>
            <w:r>
              <w:t>ORDERS</w:t>
            </w:r>
          </w:p>
        </w:tc>
        <w:tc>
          <w:tcPr>
            <w:tcW w:type="dxa" w:w="3168"/>
            <w:tcMar>
              <w:top w:w="120" w:type="dxa"/>
              <w:bottom w:w="120" w:type="dxa"/>
              <w:left w:w="150" w:type="dxa"/>
              <w:right w:w="150" w:type="dxa"/>
            </w:tcMar>
            <w:shd w:fill="FFFFFF"/>
          </w:tcPr>
          <w:p>
            <w:pPr>
              <w:jc w:val="left"/>
            </w:pPr>
            <w:r>
              <w:t>order_id (PK), customer_id (FK), product_id (FK), supplier_id (FK), order_date, quantity, order_status</w:t>
            </w:r>
          </w:p>
        </w:tc>
        <w:tc>
          <w:tcPr>
            <w:tcW w:type="dxa" w:w="1584"/>
            <w:tcMar>
              <w:top w:w="120" w:type="dxa"/>
              <w:bottom w:w="120" w:type="dxa"/>
              <w:left w:w="150" w:type="dxa"/>
              <w:right w:w="150" w:type="dxa"/>
            </w:tcMar>
            <w:shd w:fill="FFFFFF"/>
          </w:tcPr>
          <w:p>
            <w:pPr>
              <w:jc w:val="center"/>
            </w:pPr>
            <w:r>
              <w:t>206 Records</w:t>
            </w:r>
          </w:p>
        </w:tc>
        <w:tc>
          <w:tcPr>
            <w:tcW w:type="dxa" w:w="3168"/>
            <w:tcMar>
              <w:top w:w="120" w:type="dxa"/>
              <w:bottom w:w="120" w:type="dxa"/>
              <w:left w:w="150" w:type="dxa"/>
              <w:right w:w="150" w:type="dxa"/>
            </w:tcMar>
            <w:shd w:fill="FFFFFF"/>
          </w:tcPr>
          <w:p>
            <w:pPr>
              <w:jc w:val="both"/>
            </w:pPr>
            <w:r>
              <w:t>Captures transactional orders across Delivered, Shipped, Processing, and Cancelled states.</w:t>
            </w:r>
          </w:p>
        </w:tc>
      </w:tr>
      <w:tr>
        <w:trPr>
          <w:cantSplit/>
        </w:trPr>
        <w:tc>
          <w:tcPr>
            <w:tcW w:type="dxa" w:w="2160"/>
            <w:tcMar>
              <w:top w:w="120" w:type="dxa"/>
              <w:bottom w:w="120" w:type="dxa"/>
              <w:left w:w="150" w:type="dxa"/>
              <w:right w:w="150" w:type="dxa"/>
            </w:tcMar>
            <w:shd w:fill="F8F9FA"/>
          </w:tcPr>
          <w:p>
            <w:pPr>
              <w:jc w:val="center"/>
            </w:pPr>
            <w:r>
              <w:t>SALES</w:t>
            </w:r>
          </w:p>
        </w:tc>
        <w:tc>
          <w:tcPr>
            <w:tcW w:type="dxa" w:w="3168"/>
            <w:tcMar>
              <w:top w:w="120" w:type="dxa"/>
              <w:bottom w:w="120" w:type="dxa"/>
              <w:left w:w="150" w:type="dxa"/>
              <w:right w:w="150" w:type="dxa"/>
            </w:tcMar>
            <w:shd w:fill="F8F9FA"/>
          </w:tcPr>
          <w:p>
            <w:pPr>
              <w:jc w:val="left"/>
            </w:pPr>
            <w:r>
              <w:t>sale_id (PK), order_id (FK), customer_id (FK), product_id (FK), supplier_id (FK), sale_date, quantity, unit_price, total_amount, profit</w:t>
            </w:r>
          </w:p>
        </w:tc>
        <w:tc>
          <w:tcPr>
            <w:tcW w:type="dxa" w:w="1584"/>
            <w:tcMar>
              <w:top w:w="120" w:type="dxa"/>
              <w:bottom w:w="120" w:type="dxa"/>
              <w:left w:w="150" w:type="dxa"/>
              <w:right w:w="150" w:type="dxa"/>
            </w:tcMar>
            <w:shd w:fill="F8F9FA"/>
          </w:tcPr>
          <w:p>
            <w:pPr>
              <w:jc w:val="center"/>
            </w:pPr>
            <w:r>
              <w:t>134 Records</w:t>
            </w:r>
          </w:p>
        </w:tc>
        <w:tc>
          <w:tcPr>
            <w:tcW w:type="dxa" w:w="3168"/>
            <w:tcMar>
              <w:top w:w="120" w:type="dxa"/>
              <w:bottom w:w="120" w:type="dxa"/>
              <w:left w:w="150" w:type="dxa"/>
              <w:right w:w="150" w:type="dxa"/>
            </w:tcMar>
            <w:shd w:fill="F8F9FA"/>
          </w:tcPr>
          <w:p>
            <w:pPr>
              <w:jc w:val="both"/>
            </w:pPr>
            <w:r>
              <w:t>Financial fulfillment logs storing settled revenue and calculated net profit for delivered items.</w:t>
            </w:r>
          </w:p>
        </w:tc>
      </w:tr>
    </w:tbl>
    <w:p>
      <w:pPr>
        <w:keepNext/>
        <w:spacing w:before="240" w:after="120"/>
      </w:pPr>
      <w:r>
        <w:rPr>
          <w:rFonts w:ascii="Times New Roman" w:hAnsi="Times New Roman"/>
          <w:b/>
          <w:color w:val="2C3E50"/>
          <w:sz w:val="24"/>
        </w:rPr>
        <w:t>4.1.2 Data Preprocessing</w:t>
      </w:r>
    </w:p>
    <w:p>
      <w:pPr>
        <w:spacing w:before="0" w:after="120" w:line="276" w:lineRule="auto"/>
        <w:jc w:val="both"/>
      </w:pPr>
      <w:r>
        <w:rPr>
          <w:rFonts w:ascii="Times New Roman" w:hAnsi="Times New Roman"/>
          <w:b w:val="0"/>
          <w:i w:val="0"/>
          <w:color w:val="000000"/>
          <w:sz w:val="24"/>
        </w:rPr>
        <w:t>Operational data frequently contains noise, null values, and domain inconsistencies. In LocalDrop, automated preprocessing is integrated directly into the ETL workflow:</w:t>
      </w:r>
    </w:p>
    <w:p>
      <w:pPr>
        <w:pStyle w:val="ListBullet"/>
        <w:spacing w:before="0" w:after="80" w:line="276" w:lineRule="auto"/>
        <w:jc w:val="both"/>
      </w:pPr>
      <w:r>
        <w:rPr>
          <w:rFonts w:ascii="Times New Roman" w:hAnsi="Times New Roman"/>
          <w:b/>
          <w:color w:val="000000"/>
          <w:sz w:val="24"/>
        </w:rPr>
        <w:t xml:space="preserve">Handling Missing Values: </w:t>
      </w:r>
      <w:r>
        <w:rPr>
          <w:rFonts w:ascii="Times New Roman" w:hAnsi="Times New Roman"/>
          <w:color w:val="000000"/>
          <w:sz w:val="24"/>
        </w:rPr>
        <w:t>Rows with null critical analytical keys (e.g. missing order_date or order_status) are identified and systematically purged using Pandas dropna(subset=['order_status', 'order_date']).</w:t>
      </w:r>
    </w:p>
    <w:p>
      <w:pPr>
        <w:pStyle w:val="ListBullet"/>
        <w:spacing w:before="0" w:after="80" w:line="276" w:lineRule="auto"/>
        <w:jc w:val="both"/>
      </w:pPr>
      <w:r>
        <w:rPr>
          <w:rFonts w:ascii="Times New Roman" w:hAnsi="Times New Roman"/>
          <w:b/>
          <w:color w:val="000000"/>
          <w:sz w:val="24"/>
        </w:rPr>
        <w:t xml:space="preserve">Invalid Value Filtering: </w:t>
      </w:r>
      <w:r>
        <w:rPr>
          <w:rFonts w:ascii="Times New Roman" w:hAnsi="Times New Roman"/>
          <w:color w:val="000000"/>
          <w:sz w:val="24"/>
        </w:rPr>
        <w:t>Operational entry errors such as negative quantities (e.g., quantity &lt; 1) or zero cost prices are filtered out using boolean indexing: orders = orders[orders['quantity'] &gt; 0].</w:t>
      </w:r>
    </w:p>
    <w:p>
      <w:pPr>
        <w:pStyle w:val="ListBullet"/>
        <w:spacing w:before="0" w:after="80" w:line="276" w:lineRule="auto"/>
        <w:jc w:val="both"/>
      </w:pPr>
      <w:r>
        <w:rPr>
          <w:rFonts w:ascii="Times New Roman" w:hAnsi="Times New Roman"/>
          <w:b/>
          <w:color w:val="000000"/>
          <w:sz w:val="24"/>
        </w:rPr>
        <w:t xml:space="preserve">Deduplication: </w:t>
      </w:r>
      <w:r>
        <w:rPr>
          <w:rFonts w:ascii="Times New Roman" w:hAnsi="Times New Roman"/>
          <w:color w:val="000000"/>
          <w:sz w:val="24"/>
        </w:rPr>
        <w:t>Redundant transaction logs resulting from network resubmissions are identified and eliminated via drop_duplicates().</w:t>
      </w:r>
    </w:p>
    <w:p>
      <w:pPr>
        <w:pStyle w:val="ListBullet"/>
        <w:spacing w:before="0" w:after="80" w:line="276" w:lineRule="auto"/>
        <w:jc w:val="both"/>
      </w:pPr>
      <w:r>
        <w:rPr>
          <w:rFonts w:ascii="Times New Roman" w:hAnsi="Times New Roman"/>
          <w:b/>
          <w:color w:val="000000"/>
          <w:sz w:val="24"/>
        </w:rPr>
        <w:t xml:space="preserve">Feature Transformation: </w:t>
      </w:r>
      <w:r>
        <w:rPr>
          <w:rFonts w:ascii="Times New Roman" w:hAnsi="Times New Roman"/>
          <w:color w:val="000000"/>
          <w:sz w:val="24"/>
        </w:rPr>
        <w:t>Order dates are parsed using pd.to_datetime() and decomposed into conformed calendar attributes: date_id (integer YYYYMMDD), month, day, quarter, and year.</w:t>
      </w:r>
    </w:p>
    <w:p>
      <w:pPr>
        <w:keepNext/>
        <w:spacing w:before="240" w:after="120"/>
      </w:pPr>
      <w:r>
        <w:rPr>
          <w:rFonts w:ascii="Times New Roman" w:hAnsi="Times New Roman"/>
          <w:b/>
          <w:color w:val="2C3E50"/>
          <w:sz w:val="24"/>
        </w:rPr>
        <w:t>4.1.3 ETL Implementation</w:t>
      </w:r>
    </w:p>
    <w:p>
      <w:pPr>
        <w:spacing w:before="0" w:after="120" w:line="276" w:lineRule="auto"/>
        <w:jc w:val="both"/>
      </w:pPr>
      <w:r>
        <w:rPr>
          <w:rFonts w:ascii="Times New Roman" w:hAnsi="Times New Roman"/>
          <w:b w:val="0"/>
          <w:i w:val="0"/>
          <w:color w:val="000000"/>
          <w:sz w:val="24"/>
        </w:rPr>
        <w:t>The ETL pipeline is orchestrated via etl.py following three core stages:</w:t>
      </w:r>
    </w:p>
    <w:p>
      <w:pPr>
        <w:pStyle w:val="ListBullet"/>
        <w:spacing w:before="0" w:after="80" w:line="276" w:lineRule="auto"/>
        <w:jc w:val="both"/>
      </w:pPr>
      <w:r>
        <w:rPr>
          <w:rFonts w:ascii="Times New Roman" w:hAnsi="Times New Roman"/>
          <w:b/>
          <w:color w:val="000000"/>
          <w:sz w:val="24"/>
        </w:rPr>
        <w:t xml:space="preserve">1. Extract: </w:t>
      </w:r>
      <w:r>
        <w:rPr>
          <w:rFonts w:ascii="Times New Roman" w:hAnsi="Times New Roman"/>
          <w:color w:val="000000"/>
          <w:sz w:val="24"/>
        </w:rPr>
        <w:t>Connects to localdrop_operational.db via SQLite3 and reads relational records directly into Pandas DataFrames using read_sql_query.</w:t>
      </w:r>
    </w:p>
    <w:p>
      <w:pPr>
        <w:pStyle w:val="ListBullet"/>
        <w:spacing w:before="0" w:after="80" w:line="276" w:lineRule="auto"/>
        <w:jc w:val="both"/>
      </w:pPr>
      <w:r>
        <w:rPr>
          <w:rFonts w:ascii="Times New Roman" w:hAnsi="Times New Roman"/>
          <w:b/>
          <w:color w:val="000000"/>
          <w:sz w:val="24"/>
        </w:rPr>
        <w:t xml:space="preserve">2. Transform: </w:t>
      </w:r>
      <w:r>
        <w:rPr>
          <w:rFonts w:ascii="Times New Roman" w:hAnsi="Times New Roman"/>
          <w:color w:val="000000"/>
          <w:sz w:val="24"/>
        </w:rPr>
        <w:t>Applies the preprocessing cleaning rules. Distinct calendar dates are isolated to populate DIM_DATE. In the Snowflake pipeline, distinct product categories are mapped to an auto-incrementing category_id to generate DIM_CATEGORY. Conformed surrogate keys are mapped into FACT_SALES.</w:t>
      </w:r>
    </w:p>
    <w:p>
      <w:pPr>
        <w:pStyle w:val="ListBullet"/>
        <w:spacing w:before="0" w:after="80" w:line="276" w:lineRule="auto"/>
        <w:jc w:val="both"/>
      </w:pPr>
      <w:r>
        <w:rPr>
          <w:rFonts w:ascii="Times New Roman" w:hAnsi="Times New Roman"/>
          <w:b/>
          <w:color w:val="000000"/>
          <w:sz w:val="24"/>
        </w:rPr>
        <w:t xml:space="preserve">3. Load: </w:t>
      </w:r>
      <w:r>
        <w:rPr>
          <w:rFonts w:ascii="Times New Roman" w:hAnsi="Times New Roman"/>
          <w:color w:val="000000"/>
          <w:sz w:val="24"/>
        </w:rPr>
        <w:t>Opens a connection to localdrop_warehouse.db and loads conformed tables using to_sql(if_exists='replace', index=False).</w:t>
      </w:r>
    </w:p>
    <w:p>
      <w:pPr>
        <w:keepNext/>
        <w:spacing w:before="240" w:after="120"/>
      </w:pPr>
      <w:r>
        <w:rPr>
          <w:rFonts w:ascii="Times New Roman" w:hAnsi="Times New Roman"/>
          <w:b/>
          <w:color w:val="2C3E50"/>
          <w:sz w:val="24"/>
        </w:rPr>
        <w:t>4.1.4 Data Warehouse Implementation</w:t>
      </w:r>
    </w:p>
    <w:p>
      <w:pPr>
        <w:spacing w:before="0" w:after="120" w:line="276" w:lineRule="auto"/>
        <w:jc w:val="both"/>
      </w:pPr>
      <w:r>
        <w:rPr>
          <w:rFonts w:ascii="Times New Roman" w:hAnsi="Times New Roman"/>
          <w:b w:val="0"/>
          <w:i w:val="0"/>
          <w:color w:val="000000"/>
          <w:sz w:val="24"/>
        </w:rPr>
        <w:t>LocalDrop implements both Star Schema and Snowflake Schema multidimensional models within localdrop_warehouse.db. Table 4.2 details the dimensional table structures.</w:t>
      </w:r>
    </w:p>
    <w:p>
      <w:pPr>
        <w:spacing w:before="160" w:after="80"/>
      </w:pPr>
      <w:r>
        <w:rPr>
          <w:rFonts w:ascii="Times New Roman" w:hAnsi="Times New Roman"/>
          <w:b/>
          <w:sz w:val="22"/>
        </w:rPr>
        <w:t>Table 4.2: Data Warehouse Star and Snowflake Schema Table Definitions</w:t>
      </w:r>
    </w:p>
    <w:tbl>
      <w:tblPr>
        <w:tblW w:type="auto" w:w="0"/>
        <w:jc w:val="center"/>
        <w:tblLook w:firstColumn="1" w:firstRow="1" w:lastColumn="0" w:lastRow="0" w:noHBand="0" w:noVBand="1" w:val="04A0"/>
      </w:tblPr>
      <w:tblGrid>
        <w:gridCol w:w="2185"/>
        <w:gridCol w:w="2185"/>
        <w:gridCol w:w="2185"/>
        <w:gridCol w:w="2185"/>
      </w:tblGrid>
      <w:tr>
        <w:trPr>
          <w:cantSplit/>
          <w:tblHeader/>
        </w:trPr>
        <w:tc>
          <w:tcPr>
            <w:tcW w:type="dxa" w:w="2160"/>
            <w:tcMar>
              <w:top w:w="120" w:type="dxa"/>
              <w:bottom w:w="120" w:type="dxa"/>
              <w:left w:w="150" w:type="dxa"/>
              <w:right w:w="150" w:type="dxa"/>
            </w:tcMar>
            <w:shd w:fill="2C3E50"/>
          </w:tcPr>
          <w:p>
            <w:pPr>
              <w:jc w:val="center"/>
            </w:pPr>
            <w:r>
              <w:t>Table Name</w:t>
            </w:r>
          </w:p>
        </w:tc>
        <w:tc>
          <w:tcPr>
            <w:tcW w:type="dxa" w:w="3168"/>
            <w:tcMar>
              <w:top w:w="120" w:type="dxa"/>
              <w:bottom w:w="120" w:type="dxa"/>
              <w:left w:w="150" w:type="dxa"/>
              <w:right w:w="150" w:type="dxa"/>
            </w:tcMar>
            <w:shd w:fill="2C3E50"/>
          </w:tcPr>
          <w:p>
            <w:pPr>
              <w:jc w:val="center"/>
            </w:pPr>
            <w:r>
              <w:t>Attributes &amp; Keys</w:t>
            </w:r>
          </w:p>
        </w:tc>
        <w:tc>
          <w:tcPr>
            <w:tcW w:type="dxa" w:w="1584"/>
            <w:tcMar>
              <w:top w:w="120" w:type="dxa"/>
              <w:bottom w:w="120" w:type="dxa"/>
              <w:left w:w="150" w:type="dxa"/>
              <w:right w:w="150" w:type="dxa"/>
            </w:tcMar>
            <w:shd w:fill="2C3E50"/>
          </w:tcPr>
          <w:p>
            <w:pPr>
              <w:jc w:val="center"/>
            </w:pPr>
            <w:r>
              <w:t>Volume</w:t>
            </w:r>
          </w:p>
        </w:tc>
        <w:tc>
          <w:tcPr>
            <w:tcW w:type="dxa" w:w="3168"/>
            <w:tcMar>
              <w:top w:w="120" w:type="dxa"/>
              <w:bottom w:w="120" w:type="dxa"/>
              <w:left w:w="150" w:type="dxa"/>
              <w:right w:w="150" w:type="dxa"/>
            </w:tcMar>
            <w:shd w:fill="2C3E50"/>
          </w:tcPr>
          <w:p>
            <w:pPr>
              <w:jc w:val="center"/>
            </w:pPr>
            <w:r>
              <w:t>Dimensional Role</w:t>
            </w:r>
          </w:p>
        </w:tc>
      </w:tr>
      <w:tr>
        <w:trPr>
          <w:cantSplit/>
        </w:trPr>
        <w:tc>
          <w:tcPr>
            <w:tcW w:type="dxa" w:w="2160"/>
            <w:tcMar>
              <w:top w:w="120" w:type="dxa"/>
              <w:bottom w:w="120" w:type="dxa"/>
              <w:left w:w="150" w:type="dxa"/>
              <w:right w:w="150" w:type="dxa"/>
            </w:tcMar>
            <w:shd w:fill="F8F9FA"/>
          </w:tcPr>
          <w:p>
            <w:pPr>
              <w:jc w:val="center"/>
            </w:pPr>
            <w:r>
              <w:t>FACT_SALES</w:t>
            </w:r>
          </w:p>
        </w:tc>
        <w:tc>
          <w:tcPr>
            <w:tcW w:type="dxa" w:w="3168"/>
            <w:tcMar>
              <w:top w:w="120" w:type="dxa"/>
              <w:bottom w:w="120" w:type="dxa"/>
              <w:left w:w="150" w:type="dxa"/>
              <w:right w:w="150" w:type="dxa"/>
            </w:tcMar>
            <w:shd w:fill="F8F9FA"/>
          </w:tcPr>
          <w:p>
            <w:pPr>
              <w:jc w:val="left"/>
            </w:pPr>
            <w:r>
              <w:t>sale_id (PK), date_id (FK), customer_id (FK), product_id (FK), supplier_id (FK), quantity, unit_price, total_amount, profit</w:t>
            </w:r>
          </w:p>
        </w:tc>
        <w:tc>
          <w:tcPr>
            <w:tcW w:type="dxa" w:w="1584"/>
            <w:tcMar>
              <w:top w:w="120" w:type="dxa"/>
              <w:bottom w:w="120" w:type="dxa"/>
              <w:left w:w="150" w:type="dxa"/>
              <w:right w:w="150" w:type="dxa"/>
            </w:tcMar>
            <w:shd w:fill="F8F9FA"/>
          </w:tcPr>
          <w:p>
            <w:pPr>
              <w:jc w:val="center"/>
            </w:pPr>
            <w:r>
              <w:t>134 Records</w:t>
            </w:r>
          </w:p>
        </w:tc>
        <w:tc>
          <w:tcPr>
            <w:tcW w:type="dxa" w:w="3168"/>
            <w:tcMar>
              <w:top w:w="120" w:type="dxa"/>
              <w:bottom w:w="120" w:type="dxa"/>
              <w:left w:w="150" w:type="dxa"/>
              <w:right w:w="150" w:type="dxa"/>
            </w:tcMar>
            <w:shd w:fill="F8F9FA"/>
          </w:tcPr>
          <w:p>
            <w:pPr>
              <w:jc w:val="both"/>
            </w:pPr>
            <w:r>
              <w:t>Central Fact table storing numerical business metrics and foreign surrogate keys.</w:t>
            </w:r>
          </w:p>
        </w:tc>
      </w:tr>
      <w:tr>
        <w:trPr>
          <w:cantSplit/>
        </w:trPr>
        <w:tc>
          <w:tcPr>
            <w:tcW w:type="dxa" w:w="2160"/>
            <w:tcMar>
              <w:top w:w="120" w:type="dxa"/>
              <w:bottom w:w="120" w:type="dxa"/>
              <w:left w:w="150" w:type="dxa"/>
              <w:right w:w="150" w:type="dxa"/>
            </w:tcMar>
            <w:shd w:fill="FFFFFF"/>
          </w:tcPr>
          <w:p>
            <w:pPr>
              <w:jc w:val="center"/>
            </w:pPr>
            <w:r>
              <w:t>DIM_CUSTOMER</w:t>
            </w:r>
          </w:p>
        </w:tc>
        <w:tc>
          <w:tcPr>
            <w:tcW w:type="dxa" w:w="3168"/>
            <w:tcMar>
              <w:top w:w="120" w:type="dxa"/>
              <w:bottom w:w="120" w:type="dxa"/>
              <w:left w:w="150" w:type="dxa"/>
              <w:right w:w="150" w:type="dxa"/>
            </w:tcMar>
            <w:shd w:fill="FFFFFF"/>
          </w:tcPr>
          <w:p>
            <w:pPr>
              <w:jc w:val="left"/>
            </w:pPr>
            <w:r>
              <w:t>customer_id (PK), customer_name, city, state</w:t>
            </w:r>
          </w:p>
        </w:tc>
        <w:tc>
          <w:tcPr>
            <w:tcW w:type="dxa" w:w="1584"/>
            <w:tcMar>
              <w:top w:w="120" w:type="dxa"/>
              <w:bottom w:w="120" w:type="dxa"/>
              <w:left w:w="150" w:type="dxa"/>
              <w:right w:w="150" w:type="dxa"/>
            </w:tcMar>
            <w:shd w:fill="FFFFFF"/>
          </w:tcPr>
          <w:p>
            <w:pPr>
              <w:jc w:val="center"/>
            </w:pPr>
            <w:r>
              <w:t>50 Records</w:t>
            </w:r>
          </w:p>
        </w:tc>
        <w:tc>
          <w:tcPr>
            <w:tcW w:type="dxa" w:w="3168"/>
            <w:tcMar>
              <w:top w:w="120" w:type="dxa"/>
              <w:bottom w:w="120" w:type="dxa"/>
              <w:left w:w="150" w:type="dxa"/>
              <w:right w:w="150" w:type="dxa"/>
            </w:tcMar>
            <w:shd w:fill="FFFFFF"/>
          </w:tcPr>
          <w:p>
            <w:pPr>
              <w:jc w:val="both"/>
            </w:pPr>
            <w:r>
              <w:t>Conformed customer dimension supporting geographic sales aggregation.</w:t>
            </w:r>
          </w:p>
        </w:tc>
      </w:tr>
      <w:tr>
        <w:trPr>
          <w:cantSplit/>
        </w:trPr>
        <w:tc>
          <w:tcPr>
            <w:tcW w:type="dxa" w:w="2160"/>
            <w:tcMar>
              <w:top w:w="120" w:type="dxa"/>
              <w:bottom w:w="120" w:type="dxa"/>
              <w:left w:w="150" w:type="dxa"/>
              <w:right w:w="150" w:type="dxa"/>
            </w:tcMar>
            <w:shd w:fill="F8F9FA"/>
          </w:tcPr>
          <w:p>
            <w:pPr>
              <w:jc w:val="center"/>
            </w:pPr>
            <w:r>
              <w:t>DIM_SUPPLIER</w:t>
            </w:r>
          </w:p>
        </w:tc>
        <w:tc>
          <w:tcPr>
            <w:tcW w:type="dxa" w:w="3168"/>
            <w:tcMar>
              <w:top w:w="120" w:type="dxa"/>
              <w:bottom w:w="120" w:type="dxa"/>
              <w:left w:w="150" w:type="dxa"/>
              <w:right w:w="150" w:type="dxa"/>
            </w:tcMar>
            <w:shd w:fill="F8F9FA"/>
          </w:tcPr>
          <w:p>
            <w:pPr>
              <w:jc w:val="left"/>
            </w:pPr>
            <w:r>
              <w:t>supplier_id (PK), supplier_name, city, state, supplier_rating</w:t>
            </w:r>
          </w:p>
        </w:tc>
        <w:tc>
          <w:tcPr>
            <w:tcW w:type="dxa" w:w="1584"/>
            <w:tcMar>
              <w:top w:w="120" w:type="dxa"/>
              <w:bottom w:w="120" w:type="dxa"/>
              <w:left w:w="150" w:type="dxa"/>
              <w:right w:w="150" w:type="dxa"/>
            </w:tcMar>
            <w:shd w:fill="F8F9FA"/>
          </w:tcPr>
          <w:p>
            <w:pPr>
              <w:jc w:val="center"/>
            </w:pPr>
            <w:r>
              <w:t>15 Records</w:t>
            </w:r>
          </w:p>
        </w:tc>
        <w:tc>
          <w:tcPr>
            <w:tcW w:type="dxa" w:w="3168"/>
            <w:tcMar>
              <w:top w:w="120" w:type="dxa"/>
              <w:bottom w:w="120" w:type="dxa"/>
              <w:left w:w="150" w:type="dxa"/>
              <w:right w:w="150" w:type="dxa"/>
            </w:tcMar>
            <w:shd w:fill="F8F9FA"/>
          </w:tcPr>
          <w:p>
            <w:pPr>
              <w:jc w:val="both"/>
            </w:pPr>
            <w:r>
              <w:t>Conformed supplier dimension for performance and rating analysis.</w:t>
            </w:r>
          </w:p>
        </w:tc>
      </w:tr>
      <w:tr>
        <w:trPr>
          <w:cantSplit/>
        </w:trPr>
        <w:tc>
          <w:tcPr>
            <w:tcW w:type="dxa" w:w="2160"/>
            <w:tcMar>
              <w:top w:w="120" w:type="dxa"/>
              <w:bottom w:w="120" w:type="dxa"/>
              <w:left w:w="150" w:type="dxa"/>
              <w:right w:w="150" w:type="dxa"/>
            </w:tcMar>
            <w:shd w:fill="FFFFFF"/>
          </w:tcPr>
          <w:p>
            <w:pPr>
              <w:jc w:val="center"/>
            </w:pPr>
            <w:r>
              <w:t>DIM_PRODUCT</w:t>
            </w:r>
          </w:p>
        </w:tc>
        <w:tc>
          <w:tcPr>
            <w:tcW w:type="dxa" w:w="3168"/>
            <w:tcMar>
              <w:top w:w="120" w:type="dxa"/>
              <w:bottom w:w="120" w:type="dxa"/>
              <w:left w:w="150" w:type="dxa"/>
              <w:right w:w="150" w:type="dxa"/>
            </w:tcMar>
            <w:shd w:fill="FFFFFF"/>
          </w:tcPr>
          <w:p>
            <w:pPr>
              <w:jc w:val="left"/>
            </w:pPr>
            <w:r>
              <w:t>product_id (PK), product_name, category, price</w:t>
            </w:r>
          </w:p>
        </w:tc>
        <w:tc>
          <w:tcPr>
            <w:tcW w:type="dxa" w:w="1584"/>
            <w:tcMar>
              <w:top w:w="120" w:type="dxa"/>
              <w:bottom w:w="120" w:type="dxa"/>
              <w:left w:w="150" w:type="dxa"/>
              <w:right w:w="150" w:type="dxa"/>
            </w:tcMar>
            <w:shd w:fill="FFFFFF"/>
          </w:tcPr>
          <w:p>
            <w:pPr>
              <w:jc w:val="center"/>
            </w:pPr>
            <w:r>
              <w:t>10 Records</w:t>
            </w:r>
          </w:p>
        </w:tc>
        <w:tc>
          <w:tcPr>
            <w:tcW w:type="dxa" w:w="3168"/>
            <w:tcMar>
              <w:top w:w="120" w:type="dxa"/>
              <w:bottom w:w="120" w:type="dxa"/>
              <w:left w:w="150" w:type="dxa"/>
              <w:right w:w="150" w:type="dxa"/>
            </w:tcMar>
            <w:shd w:fill="FFFFFF"/>
          </w:tcPr>
          <w:p>
            <w:pPr>
              <w:jc w:val="both"/>
            </w:pPr>
            <w:r>
              <w:t>Denormalized product dimension utilized in the Star Schema.</w:t>
            </w:r>
          </w:p>
        </w:tc>
      </w:tr>
      <w:tr>
        <w:trPr>
          <w:cantSplit/>
        </w:trPr>
        <w:tc>
          <w:tcPr>
            <w:tcW w:type="dxa" w:w="2160"/>
            <w:tcMar>
              <w:top w:w="120" w:type="dxa"/>
              <w:bottom w:w="120" w:type="dxa"/>
              <w:left w:w="150" w:type="dxa"/>
              <w:right w:w="150" w:type="dxa"/>
            </w:tcMar>
            <w:shd w:fill="F8F9FA"/>
          </w:tcPr>
          <w:p>
            <w:pPr>
              <w:jc w:val="center"/>
            </w:pPr>
            <w:r>
              <w:t>DIM_DATE</w:t>
            </w:r>
          </w:p>
        </w:tc>
        <w:tc>
          <w:tcPr>
            <w:tcW w:type="dxa" w:w="3168"/>
            <w:tcMar>
              <w:top w:w="120" w:type="dxa"/>
              <w:bottom w:w="120" w:type="dxa"/>
              <w:left w:w="150" w:type="dxa"/>
              <w:right w:w="150" w:type="dxa"/>
            </w:tcMar>
            <w:shd w:fill="F8F9FA"/>
          </w:tcPr>
          <w:p>
            <w:pPr>
              <w:jc w:val="left"/>
            </w:pPr>
            <w:r>
              <w:t>date_id (PK), date_full, day, month, quarter, year</w:t>
            </w:r>
          </w:p>
        </w:tc>
        <w:tc>
          <w:tcPr>
            <w:tcW w:type="dxa" w:w="1584"/>
            <w:tcMar>
              <w:top w:w="120" w:type="dxa"/>
              <w:bottom w:w="120" w:type="dxa"/>
              <w:left w:w="150" w:type="dxa"/>
              <w:right w:w="150" w:type="dxa"/>
            </w:tcMar>
            <w:shd w:fill="F8F9FA"/>
          </w:tcPr>
          <w:p>
            <w:pPr>
              <w:jc w:val="center"/>
            </w:pPr>
            <w:r>
              <w:t>105 Records</w:t>
            </w:r>
          </w:p>
        </w:tc>
        <w:tc>
          <w:tcPr>
            <w:tcW w:type="dxa" w:w="3168"/>
            <w:tcMar>
              <w:top w:w="120" w:type="dxa"/>
              <w:bottom w:w="120" w:type="dxa"/>
              <w:left w:w="150" w:type="dxa"/>
              <w:right w:w="150" w:type="dxa"/>
            </w:tcMar>
            <w:shd w:fill="F8F9FA"/>
          </w:tcPr>
          <w:p>
            <w:pPr>
              <w:jc w:val="both"/>
            </w:pPr>
            <w:r>
              <w:t>Conformed calendar time dimension enabling granular temporal rollups.</w:t>
            </w:r>
          </w:p>
        </w:tc>
      </w:tr>
      <w:tr>
        <w:trPr>
          <w:cantSplit/>
        </w:trPr>
        <w:tc>
          <w:tcPr>
            <w:tcW w:type="dxa" w:w="2160"/>
            <w:tcMar>
              <w:top w:w="120" w:type="dxa"/>
              <w:bottom w:w="120" w:type="dxa"/>
              <w:left w:w="150" w:type="dxa"/>
              <w:right w:w="150" w:type="dxa"/>
            </w:tcMar>
            <w:shd w:fill="FFFFFF"/>
          </w:tcPr>
          <w:p>
            <w:pPr>
              <w:jc w:val="center"/>
            </w:pPr>
            <w:r>
              <w:t>DIM_CATEGORY</w:t>
            </w:r>
          </w:p>
        </w:tc>
        <w:tc>
          <w:tcPr>
            <w:tcW w:type="dxa" w:w="3168"/>
            <w:tcMar>
              <w:top w:w="120" w:type="dxa"/>
              <w:bottom w:w="120" w:type="dxa"/>
              <w:left w:w="150" w:type="dxa"/>
              <w:right w:w="150" w:type="dxa"/>
            </w:tcMar>
            <w:shd w:fill="FFFFFF"/>
          </w:tcPr>
          <w:p>
            <w:pPr>
              <w:jc w:val="left"/>
            </w:pPr>
            <w:r>
              <w:t>category_id (PK), category_name</w:t>
            </w:r>
          </w:p>
        </w:tc>
        <w:tc>
          <w:tcPr>
            <w:tcW w:type="dxa" w:w="1584"/>
            <w:tcMar>
              <w:top w:w="120" w:type="dxa"/>
              <w:bottom w:w="120" w:type="dxa"/>
              <w:left w:w="150" w:type="dxa"/>
              <w:right w:w="150" w:type="dxa"/>
            </w:tcMar>
            <w:shd w:fill="FFFFFF"/>
          </w:tcPr>
          <w:p>
            <w:pPr>
              <w:jc w:val="center"/>
            </w:pPr>
            <w:r>
              <w:t>4 Records</w:t>
            </w:r>
          </w:p>
        </w:tc>
        <w:tc>
          <w:tcPr>
            <w:tcW w:type="dxa" w:w="3168"/>
            <w:tcMar>
              <w:top w:w="120" w:type="dxa"/>
              <w:bottom w:w="120" w:type="dxa"/>
              <w:left w:w="150" w:type="dxa"/>
              <w:right w:w="150" w:type="dxa"/>
            </w:tcMar>
            <w:shd w:fill="FFFFFF"/>
          </w:tcPr>
          <w:p>
            <w:pPr>
              <w:jc w:val="both"/>
            </w:pPr>
            <w:r>
              <w:t>Normalized category dimension utilized exclusively in the Snowflake Schema.</w:t>
            </w:r>
          </w:p>
        </w:tc>
      </w:tr>
      <w:tr>
        <w:trPr>
          <w:cantSplit/>
        </w:trPr>
        <w:tc>
          <w:tcPr>
            <w:tcW w:type="dxa" w:w="2160"/>
            <w:tcMar>
              <w:top w:w="120" w:type="dxa"/>
              <w:bottom w:w="120" w:type="dxa"/>
              <w:left w:w="150" w:type="dxa"/>
              <w:right w:w="150" w:type="dxa"/>
            </w:tcMar>
            <w:shd w:fill="F8F9FA"/>
          </w:tcPr>
          <w:p>
            <w:pPr>
              <w:jc w:val="center"/>
            </w:pPr>
            <w:r>
              <w:t>DIM_PRODUCT_SF</w:t>
            </w:r>
          </w:p>
        </w:tc>
        <w:tc>
          <w:tcPr>
            <w:tcW w:type="dxa" w:w="3168"/>
            <w:tcMar>
              <w:top w:w="120" w:type="dxa"/>
              <w:bottom w:w="120" w:type="dxa"/>
              <w:left w:w="150" w:type="dxa"/>
              <w:right w:w="150" w:type="dxa"/>
            </w:tcMar>
            <w:shd w:fill="F8F9FA"/>
          </w:tcPr>
          <w:p>
            <w:pPr>
              <w:jc w:val="left"/>
            </w:pPr>
            <w:r>
              <w:t>product_id (PK), product_name, category_id (FK), price</w:t>
            </w:r>
          </w:p>
        </w:tc>
        <w:tc>
          <w:tcPr>
            <w:tcW w:type="dxa" w:w="1584"/>
            <w:tcMar>
              <w:top w:w="120" w:type="dxa"/>
              <w:bottom w:w="120" w:type="dxa"/>
              <w:left w:w="150" w:type="dxa"/>
              <w:right w:w="150" w:type="dxa"/>
            </w:tcMar>
            <w:shd w:fill="F8F9FA"/>
          </w:tcPr>
          <w:p>
            <w:pPr>
              <w:jc w:val="center"/>
            </w:pPr>
            <w:r>
              <w:t>10 Records</w:t>
            </w:r>
          </w:p>
        </w:tc>
        <w:tc>
          <w:tcPr>
            <w:tcW w:type="dxa" w:w="3168"/>
            <w:tcMar>
              <w:top w:w="120" w:type="dxa"/>
              <w:bottom w:w="120" w:type="dxa"/>
              <w:left w:w="150" w:type="dxa"/>
              <w:right w:w="150" w:type="dxa"/>
            </w:tcMar>
            <w:shd w:fill="F8F9FA"/>
          </w:tcPr>
          <w:p>
            <w:pPr>
              <w:jc w:val="both"/>
            </w:pPr>
            <w:r>
              <w:t>Normalized product dimension referencing DIM_CATEGORY in Snowflake Schema.</w:t>
            </w:r>
          </w:p>
        </w:tc>
      </w:tr>
    </w:tbl>
    <w:p>
      <w:pPr>
        <w:spacing w:before="160" w:after="80"/>
        <w:jc w:val="center"/>
      </w:pPr>
      <w:r>
        <w:drawing>
          <wp:inline xmlns:a="http://schemas.openxmlformats.org/drawingml/2006/main" xmlns:pic="http://schemas.openxmlformats.org/drawingml/2006/picture">
            <wp:extent cx="5029200" cy="3632200"/>
            <wp:docPr id="6" name="Picture 6"/>
            <wp:cNvGraphicFramePr>
              <a:graphicFrameLocks noChangeAspect="1"/>
            </wp:cNvGraphicFramePr>
            <a:graphic>
              <a:graphicData uri="http://schemas.openxmlformats.org/drawingml/2006/picture">
                <pic:pic>
                  <pic:nvPicPr>
                    <pic:cNvPr id="0" name="fig_star_schema.png"/>
                    <pic:cNvPicPr/>
                  </pic:nvPicPr>
                  <pic:blipFill>
                    <a:blip r:embed="rId14"/>
                    <a:stretch>
                      <a:fillRect/>
                    </a:stretch>
                  </pic:blipFill>
                  <pic:spPr>
                    <a:xfrm>
                      <a:off x="0" y="0"/>
                      <a:ext cx="5029200" cy="3632200"/>
                    </a:xfrm>
                    <a:prstGeom prst="rect"/>
                  </pic:spPr>
                </pic:pic>
              </a:graphicData>
            </a:graphic>
          </wp:inline>
        </w:drawing>
      </w:r>
    </w:p>
    <w:p>
      <w:pPr>
        <w:keepNext/>
        <w:spacing w:before="40" w:after="200"/>
        <w:jc w:val="center"/>
      </w:pPr>
      <w:r>
        <w:rPr>
          <w:rFonts w:ascii="Times New Roman" w:hAnsi="Times New Roman"/>
          <w:b/>
          <w:color w:val="282828"/>
          <w:sz w:val="22"/>
        </w:rPr>
        <w:t>Figure 4.1: Star Schema Architectural Layout (Denormalized Dimensions)</w:t>
      </w:r>
    </w:p>
    <w:p>
      <w:pPr>
        <w:spacing w:before="160" w:after="80"/>
        <w:jc w:val="center"/>
      </w:pPr>
      <w:r>
        <w:drawing>
          <wp:inline xmlns:a="http://schemas.openxmlformats.org/drawingml/2006/main" xmlns:pic="http://schemas.openxmlformats.org/drawingml/2006/picture">
            <wp:extent cx="5029200" cy="3520440"/>
            <wp:docPr id="7" name="Picture 7"/>
            <wp:cNvGraphicFramePr>
              <a:graphicFrameLocks noChangeAspect="1"/>
            </wp:cNvGraphicFramePr>
            <a:graphic>
              <a:graphicData uri="http://schemas.openxmlformats.org/drawingml/2006/picture">
                <pic:pic>
                  <pic:nvPicPr>
                    <pic:cNvPr id="0" name="fig_snowflake_schema.png"/>
                    <pic:cNvPicPr/>
                  </pic:nvPicPr>
                  <pic:blipFill>
                    <a:blip r:embed="rId15"/>
                    <a:stretch>
                      <a:fillRect/>
                    </a:stretch>
                  </pic:blipFill>
                  <pic:spPr>
                    <a:xfrm>
                      <a:off x="0" y="0"/>
                      <a:ext cx="5029200" cy="3520440"/>
                    </a:xfrm>
                    <a:prstGeom prst="rect"/>
                  </pic:spPr>
                </pic:pic>
              </a:graphicData>
            </a:graphic>
          </wp:inline>
        </w:drawing>
      </w:r>
    </w:p>
    <w:p>
      <w:pPr>
        <w:keepNext/>
        <w:spacing w:before="40" w:after="200"/>
        <w:jc w:val="center"/>
      </w:pPr>
      <w:r>
        <w:rPr>
          <w:rFonts w:ascii="Times New Roman" w:hAnsi="Times New Roman"/>
          <w:b/>
          <w:color w:val="282828"/>
          <w:sz w:val="22"/>
        </w:rPr>
        <w:t>Figure 4.2: Snowflake Schema with Normalized Product Category Dimension</w:t>
      </w:r>
    </w:p>
    <w:p>
      <w:pPr>
        <w:keepNext/>
        <w:spacing w:before="240" w:after="120"/>
      </w:pPr>
      <w:r>
        <w:rPr>
          <w:rFonts w:ascii="Times New Roman" w:hAnsi="Times New Roman"/>
          <w:b/>
          <w:color w:val="2C3E50"/>
          <w:sz w:val="24"/>
        </w:rPr>
        <w:t>4.1.5 Data Mining Implementation</w:t>
      </w:r>
    </w:p>
    <w:p>
      <w:pPr>
        <w:spacing w:before="0" w:after="120" w:line="276" w:lineRule="auto"/>
        <w:jc w:val="both"/>
      </w:pPr>
      <w:r>
        <w:rPr>
          <w:rFonts w:ascii="Times New Roman" w:hAnsi="Times New Roman"/>
          <w:b w:val="0"/>
          <w:i w:val="0"/>
          <w:color w:val="000000"/>
          <w:sz w:val="24"/>
        </w:rPr>
        <w:t>The data mining subsystem (mining.py) executes advanced statistical modeling on warehouse data:</w:t>
      </w:r>
    </w:p>
    <w:p>
      <w:pPr>
        <w:pStyle w:val="ListBullet"/>
        <w:spacing w:before="0" w:after="80" w:line="276" w:lineRule="auto"/>
        <w:jc w:val="both"/>
      </w:pPr>
      <w:r>
        <w:rPr>
          <w:rFonts w:ascii="Times New Roman" w:hAnsi="Times New Roman"/>
          <w:b/>
          <w:color w:val="000000"/>
          <w:sz w:val="24"/>
        </w:rPr>
        <w:t xml:space="preserve">Supervised Classification (Decision Tree &amp; Naive Bayes): </w:t>
      </w:r>
      <w:r>
        <w:rPr>
          <w:rFonts w:ascii="Times New Roman" w:hAnsi="Times New Roman"/>
          <w:color w:val="000000"/>
          <w:sz w:val="24"/>
        </w:rPr>
        <w:t>Predicts whether an incoming dropshipping order will yield high profit (&gt; ₹500). Features include order quantity, unit_price, and one-hot encoded product category. The dataset is split 70% for training and 30% for testing. DecisionTreeClassifier(random_state=42) and GaussianNB() are trained, evaluated, and confusion matrices computed.</w:t>
      </w:r>
    </w:p>
    <w:p>
      <w:pPr>
        <w:pStyle w:val="ListBullet"/>
        <w:spacing w:before="0" w:after="80" w:line="276" w:lineRule="auto"/>
        <w:jc w:val="both"/>
      </w:pPr>
      <w:r>
        <w:rPr>
          <w:rFonts w:ascii="Times New Roman" w:hAnsi="Times New Roman"/>
          <w:b/>
          <w:color w:val="000000"/>
          <w:sz w:val="24"/>
        </w:rPr>
        <w:t xml:space="preserve">Unsupervised Customer Clustering (K-Means): </w:t>
      </w:r>
      <w:r>
        <w:rPr>
          <w:rFonts w:ascii="Times New Roman" w:hAnsi="Times New Roman"/>
          <w:color w:val="000000"/>
          <w:sz w:val="24"/>
        </w:rPr>
        <w:t>Profiles the customer base based on Total Orders and Lifetime Spending. Numeric features are standardized using StandardScaler() to prevent magnitude bias. KMeans(n_clusters=3, random_state=42) segments buyers into High-Value Customers, Regular Buyers, and Casual Buyers.</w:t>
      </w:r>
    </w:p>
    <w:p>
      <w:pPr>
        <w:pStyle w:val="ListBullet"/>
        <w:spacing w:before="0" w:after="80" w:line="276" w:lineRule="auto"/>
        <w:jc w:val="both"/>
      </w:pPr>
      <w:r>
        <w:rPr>
          <w:rFonts w:ascii="Times New Roman" w:hAnsi="Times New Roman"/>
          <w:b/>
          <w:color w:val="000000"/>
          <w:sz w:val="24"/>
        </w:rPr>
        <w:t xml:space="preserve">Association Rule Mining (Apriori): </w:t>
      </w:r>
      <w:r>
        <w:rPr>
          <w:rFonts w:ascii="Times New Roman" w:hAnsi="Times New Roman"/>
          <w:color w:val="000000"/>
          <w:sz w:val="24"/>
        </w:rPr>
        <w:t>Executes Market Basket Analysis across customer purchasing histories. Transactions are transformed into a customer-item one-hot encoded matrix. The Apriori algorithm (min_support=0.05) identifies frequent itemsets, and association_rules computes metric thresholds (Support, Confidence, Lift &gt;= 1.0).</w:t>
      </w:r>
    </w:p>
    <w:p>
      <w:pPr>
        <w:keepNext/>
        <w:spacing w:before="280" w:after="160"/>
      </w:pPr>
      <w:r>
        <w:rPr>
          <w:rFonts w:ascii="Times New Roman" w:hAnsi="Times New Roman"/>
          <w:b/>
          <w:color w:val="2C3E50"/>
          <w:sz w:val="26"/>
        </w:rPr>
        <w:t>4.2 Making of GUI</w:t>
      </w:r>
    </w:p>
    <w:p>
      <w:pPr>
        <w:spacing w:before="0" w:after="120" w:line="276" w:lineRule="auto"/>
        <w:jc w:val="both"/>
      </w:pPr>
      <w:r>
        <w:rPr>
          <w:rFonts w:ascii="Times New Roman" w:hAnsi="Times New Roman"/>
          <w:b w:val="0"/>
          <w:i w:val="0"/>
          <w:color w:val="000000"/>
          <w:sz w:val="24"/>
        </w:rPr>
        <w:t>The web interface is engineered using Flask Jinja2 templates, semantic HTML5, custom responsive CSS3, and Chart.js. The interface is organized into nine dedicated modules:</w:t>
      </w:r>
    </w:p>
    <w:p>
      <w:pPr>
        <w:spacing w:before="0" w:after="120" w:line="276" w:lineRule="auto"/>
        <w:jc w:val="both"/>
      </w:pPr>
      <w:r>
        <w:rPr>
          <w:rFonts w:ascii="Times New Roman" w:hAnsi="Times New Roman"/>
          <w:b w:val="0"/>
          <w:i w:val="0"/>
          <w:color w:val="000000"/>
          <w:sz w:val="24"/>
        </w:rPr>
        <w:t>4.2.1 Dashboard: Displays primary executive KPI cards (Total Revenue, Profit, Orders, Customers), interactive Chart.js visualizations (Monthly Sales line chart, Category Sales pie chart, Top 5 Products bar chart, Supplier Performance horizontal bar chart, Order Status doughnut chart), and a Recent Settled Orders table.</w:t>
      </w:r>
    </w:p>
    <w:p>
      <w:pPr>
        <w:spacing w:before="160" w:after="80"/>
        <w:jc w:val="center"/>
      </w:pPr>
      <w:r>
        <w:drawing>
          <wp:inline xmlns:a="http://schemas.openxmlformats.org/drawingml/2006/main" xmlns:pic="http://schemas.openxmlformats.org/drawingml/2006/picture">
            <wp:extent cx="5029200" cy="2582562"/>
            <wp:docPr id="8" name="Picture 8"/>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4.3: Business Intelligence Dashboard GUI Overview</w:t>
      </w:r>
    </w:p>
    <w:p>
      <w:pPr>
        <w:spacing w:before="0" w:after="120" w:line="276" w:lineRule="auto"/>
        <w:jc w:val="both"/>
      </w:pPr>
      <w:r>
        <w:rPr>
          <w:rFonts w:ascii="Times New Roman" w:hAnsi="Times New Roman"/>
          <w:b w:val="0"/>
          <w:i w:val="0"/>
          <w:color w:val="000000"/>
          <w:sz w:val="24"/>
        </w:rPr>
        <w:t>4.2.2 Orders Page: Real-time tabular tracking of operational orders featuring customer names, product names, supplier entities, quantities, order status badges, dynamic keyword search, status dropdown filters, and chronological date sorting.</w:t>
      </w:r>
    </w:p>
    <w:p>
      <w:pPr>
        <w:spacing w:before="160" w:after="80"/>
        <w:jc w:val="center"/>
      </w:pPr>
      <w:r>
        <w:drawing>
          <wp:inline xmlns:a="http://schemas.openxmlformats.org/drawingml/2006/main" xmlns:pic="http://schemas.openxmlformats.org/drawingml/2006/picture">
            <wp:extent cx="5029200" cy="2582562"/>
            <wp:docPr id="9" name="Picture 9"/>
            <wp:cNvGraphicFramePr>
              <a:graphicFrameLocks noChangeAspect="1"/>
            </wp:cNvGraphicFramePr>
            <a:graphic>
              <a:graphicData uri="http://schemas.openxmlformats.org/drawingml/2006/picture">
                <pic:pic>
                  <pic:nvPicPr>
                    <pic:cNvPr id="0" name="orders.png"/>
                    <pic:cNvPicPr/>
                  </pic:nvPicPr>
                  <pic:blipFill>
                    <a:blip r:embed="rId17"/>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4.4: Operational Orders Management Page with Live Search and Filtering</w:t>
      </w:r>
    </w:p>
    <w:p>
      <w:pPr>
        <w:spacing w:before="0" w:after="120" w:line="276" w:lineRule="auto"/>
        <w:jc w:val="both"/>
      </w:pPr>
      <w:r>
        <w:rPr>
          <w:rFonts w:ascii="Times New Roman" w:hAnsi="Times New Roman"/>
          <w:b w:val="0"/>
          <w:i w:val="0"/>
          <w:color w:val="000000"/>
          <w:sz w:val="24"/>
        </w:rPr>
        <w:t>4.2.3 Products Page: Comprehensive inventory management table detailing product names, categories, selling prices, supplier cost prices, calculated net profit margins (%), and real-time low-stock alert badges (&lt; 100 units).</w:t>
      </w:r>
    </w:p>
    <w:p>
      <w:pPr>
        <w:spacing w:before="160" w:after="80"/>
        <w:jc w:val="center"/>
      </w:pPr>
      <w:r>
        <w:drawing>
          <wp:inline xmlns:a="http://schemas.openxmlformats.org/drawingml/2006/main" xmlns:pic="http://schemas.openxmlformats.org/drawingml/2006/picture">
            <wp:extent cx="5029200" cy="2582562"/>
            <wp:docPr id="10" name="Picture 10"/>
            <wp:cNvGraphicFramePr>
              <a:graphicFrameLocks noChangeAspect="1"/>
            </wp:cNvGraphicFramePr>
            <a:graphic>
              <a:graphicData uri="http://schemas.openxmlformats.org/drawingml/2006/picture">
                <pic:pic>
                  <pic:nvPicPr>
                    <pic:cNvPr id="0" name="products.png"/>
                    <pic:cNvPicPr/>
                  </pic:nvPicPr>
                  <pic:blipFill>
                    <a:blip r:embed="rId18"/>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4.5: Product Inventory and Calculated Margin Catalog GUI</w:t>
      </w:r>
    </w:p>
    <w:p>
      <w:pPr>
        <w:spacing w:before="0" w:after="120" w:line="276" w:lineRule="auto"/>
        <w:jc w:val="both"/>
      </w:pPr>
      <w:r>
        <w:rPr>
          <w:rFonts w:ascii="Times New Roman" w:hAnsi="Times New Roman"/>
          <w:b w:val="0"/>
          <w:i w:val="0"/>
          <w:color w:val="000000"/>
          <w:sz w:val="24"/>
        </w:rPr>
        <w:t>4.2.4 Customers Page: Geographic directory of registered buyers displaying registration dates, city/state distribution, total orders executed, and calculated lifetime spending value.</w:t>
      </w:r>
    </w:p>
    <w:p>
      <w:pPr>
        <w:spacing w:before="160" w:after="80"/>
        <w:jc w:val="center"/>
      </w:pPr>
      <w:r>
        <w:drawing>
          <wp:inline xmlns:a="http://schemas.openxmlformats.org/drawingml/2006/main" xmlns:pic="http://schemas.openxmlformats.org/drawingml/2006/picture">
            <wp:extent cx="5029200" cy="2582562"/>
            <wp:docPr id="11" name="Picture 11"/>
            <wp:cNvGraphicFramePr>
              <a:graphicFrameLocks noChangeAspect="1"/>
            </wp:cNvGraphicFramePr>
            <a:graphic>
              <a:graphicData uri="http://schemas.openxmlformats.org/drawingml/2006/picture">
                <pic:pic>
                  <pic:nvPicPr>
                    <pic:cNvPr id="0" name="customers.png"/>
                    <pic:cNvPicPr/>
                  </pic:nvPicPr>
                  <pic:blipFill>
                    <a:blip r:embed="rId19"/>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4.6: Customer Directory and Lifetime Value Visualization GUI</w:t>
      </w:r>
    </w:p>
    <w:p>
      <w:pPr>
        <w:spacing w:before="0" w:after="120" w:line="276" w:lineRule="auto"/>
        <w:jc w:val="both"/>
      </w:pPr>
      <w:r>
        <w:rPr>
          <w:rFonts w:ascii="Times New Roman" w:hAnsi="Times New Roman"/>
          <w:b w:val="0"/>
          <w:i w:val="0"/>
          <w:color w:val="000000"/>
          <w:sz w:val="24"/>
        </w:rPr>
        <w:t>4.2.5 Suppliers Page: Local supplier network directory detailing company names, regional headquarters, star rating indicators, total items dispatched, and cumulative gross revenue generated.</w:t>
      </w:r>
    </w:p>
    <w:p>
      <w:pPr>
        <w:spacing w:before="160" w:after="80"/>
        <w:jc w:val="center"/>
      </w:pPr>
      <w:r>
        <w:drawing>
          <wp:inline xmlns:a="http://schemas.openxmlformats.org/drawingml/2006/main" xmlns:pic="http://schemas.openxmlformats.org/drawingml/2006/picture">
            <wp:extent cx="5029200" cy="2582562"/>
            <wp:docPr id="12" name="Picture 12"/>
            <wp:cNvGraphicFramePr>
              <a:graphicFrameLocks noChangeAspect="1"/>
            </wp:cNvGraphicFramePr>
            <a:graphic>
              <a:graphicData uri="http://schemas.openxmlformats.org/drawingml/2006/picture">
                <pic:pic>
                  <pic:nvPicPr>
                    <pic:cNvPr id="0" name="suppliers.png"/>
                    <pic:cNvPicPr/>
                  </pic:nvPicPr>
                  <pic:blipFill>
                    <a:blip r:embed="rId20"/>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4.7: Supplier Performance Network and Revenue Tracking GUI</w:t>
      </w:r>
    </w:p>
    <w:p>
      <w:pPr>
        <w:spacing w:before="0" w:after="120" w:line="276" w:lineRule="auto"/>
        <w:jc w:val="both"/>
      </w:pPr>
      <w:r>
        <w:rPr>
          <w:rFonts w:ascii="Times New Roman" w:hAnsi="Times New Roman"/>
          <w:b w:val="0"/>
          <w:i w:val="0"/>
          <w:color w:val="000000"/>
          <w:sz w:val="24"/>
        </w:rPr>
        <w:t>4.2.6 Analytics Page: Dedicated analytical portal executing the ten core DWM SQL queries against FACT_SALES and conformed dimension tables, presenting granular tabular breakdowns for management reporting.</w:t>
      </w:r>
    </w:p>
    <w:p>
      <w:pPr>
        <w:spacing w:before="160" w:after="80"/>
        <w:jc w:val="center"/>
      </w:pPr>
      <w:r>
        <w:drawing>
          <wp:inline xmlns:a="http://schemas.openxmlformats.org/drawingml/2006/main" xmlns:pic="http://schemas.openxmlformats.org/drawingml/2006/picture">
            <wp:extent cx="5029200" cy="2582562"/>
            <wp:docPr id="13" name="Picture 13"/>
            <wp:cNvGraphicFramePr>
              <a:graphicFrameLocks noChangeAspect="1"/>
            </wp:cNvGraphicFramePr>
            <a:graphic>
              <a:graphicData uri="http://schemas.openxmlformats.org/drawingml/2006/picture">
                <pic:pic>
                  <pic:nvPicPr>
                    <pic:cNvPr id="0" name="analytics.png"/>
                    <pic:cNvPicPr/>
                  </pic:nvPicPr>
                  <pic:blipFill>
                    <a:blip r:embed="rId21"/>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4.8: Advanced Analytical SQL Results Portal GUI</w:t>
      </w:r>
    </w:p>
    <w:p>
      <w:pPr>
        <w:spacing w:before="0" w:after="120" w:line="276" w:lineRule="auto"/>
        <w:jc w:val="both"/>
      </w:pPr>
      <w:r>
        <w:rPr>
          <w:rFonts w:ascii="Times New Roman" w:hAnsi="Times New Roman"/>
          <w:b w:val="0"/>
          <w:i w:val="0"/>
          <w:color w:val="000000"/>
          <w:sz w:val="24"/>
        </w:rPr>
        <w:t>4.2.7 Data Preprocessing Page: Demonstrates the multi-step cleaning pipeline, contrasting raw simulated dirty data (missing status, negative quantities, null dates) against cleansed warehouse records.</w:t>
      </w:r>
    </w:p>
    <w:p>
      <w:pPr>
        <w:spacing w:before="160" w:after="80"/>
        <w:jc w:val="center"/>
      </w:pPr>
      <w:r>
        <w:drawing>
          <wp:inline xmlns:a="http://schemas.openxmlformats.org/drawingml/2006/main" xmlns:pic="http://schemas.openxmlformats.org/drawingml/2006/picture">
            <wp:extent cx="5029200" cy="2582562"/>
            <wp:docPr id="14" name="Picture 14"/>
            <wp:cNvGraphicFramePr>
              <a:graphicFrameLocks noChangeAspect="1"/>
            </wp:cNvGraphicFramePr>
            <a:graphic>
              <a:graphicData uri="http://schemas.openxmlformats.org/drawingml/2006/picture">
                <pic:pic>
                  <pic:nvPicPr>
                    <pic:cNvPr id="0" name="preprocessing.png"/>
                    <pic:cNvPicPr/>
                  </pic:nvPicPr>
                  <pic:blipFill>
                    <a:blip r:embed="rId22"/>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4.9: Data Preprocessing and Cleansing Pipeline Demonstration GUI</w:t>
      </w:r>
    </w:p>
    <w:p>
      <w:pPr>
        <w:spacing w:before="0" w:after="120" w:line="276" w:lineRule="auto"/>
        <w:jc w:val="both"/>
      </w:pPr>
      <w:r>
        <w:rPr>
          <w:rFonts w:ascii="Times New Roman" w:hAnsi="Times New Roman"/>
          <w:b w:val="0"/>
          <w:i w:val="0"/>
          <w:color w:val="000000"/>
          <w:sz w:val="24"/>
        </w:rPr>
        <w:t>4.2.8 Data Warehouse Page: Academic visualization displaying the Star Schema and Snowflake Schema database table cards, clearly denoting Primary Keys (PK) and Foreign Keys (FK).</w:t>
      </w:r>
    </w:p>
    <w:p>
      <w:pPr>
        <w:spacing w:before="160" w:after="80"/>
        <w:jc w:val="center"/>
      </w:pPr>
      <w:r>
        <w:drawing>
          <wp:inline xmlns:a="http://schemas.openxmlformats.org/drawingml/2006/main" xmlns:pic="http://schemas.openxmlformats.org/drawingml/2006/picture">
            <wp:extent cx="5029200" cy="2582562"/>
            <wp:docPr id="15" name="Picture 15"/>
            <wp:cNvGraphicFramePr>
              <a:graphicFrameLocks noChangeAspect="1"/>
            </wp:cNvGraphicFramePr>
            <a:graphic>
              <a:graphicData uri="http://schemas.openxmlformats.org/drawingml/2006/picture">
                <pic:pic>
                  <pic:nvPicPr>
                    <pic:cNvPr id="0" name="warehouse.png"/>
                    <pic:cNvPicPr/>
                  </pic:nvPicPr>
                  <pic:blipFill>
                    <a:blip r:embed="rId23"/>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4.10: Data Warehouse Interactive Schema Visualization GUI</w:t>
      </w:r>
    </w:p>
    <w:p>
      <w:pPr>
        <w:spacing w:before="0" w:after="120" w:line="276" w:lineRule="auto"/>
        <w:jc w:val="both"/>
      </w:pPr>
      <w:r>
        <w:rPr>
          <w:rFonts w:ascii="Times New Roman" w:hAnsi="Times New Roman"/>
          <w:b w:val="0"/>
          <w:i w:val="0"/>
          <w:color w:val="000000"/>
          <w:sz w:val="24"/>
        </w:rPr>
        <w:t>4.2.9 Data Mining Page: Presents live Machine Learning outputs including Decision Tree vs. Naive Bayes classification performance, confusion matrices, K-Means cluster profiles, an interactive scatter plot, and discovered Apriori association rules.</w:t>
      </w:r>
    </w:p>
    <w:p>
      <w:pPr>
        <w:spacing w:before="160" w:after="80"/>
        <w:jc w:val="center"/>
      </w:pPr>
      <w:r>
        <w:drawing>
          <wp:inline xmlns:a="http://schemas.openxmlformats.org/drawingml/2006/main" xmlns:pic="http://schemas.openxmlformats.org/drawingml/2006/picture">
            <wp:extent cx="5029200" cy="2582562"/>
            <wp:docPr id="16" name="Picture 16"/>
            <wp:cNvGraphicFramePr>
              <a:graphicFrameLocks noChangeAspect="1"/>
            </wp:cNvGraphicFramePr>
            <a:graphic>
              <a:graphicData uri="http://schemas.openxmlformats.org/drawingml/2006/picture">
                <pic:pic>
                  <pic:nvPicPr>
                    <pic:cNvPr id="0" name="mining.png"/>
                    <pic:cNvPicPr/>
                  </pic:nvPicPr>
                  <pic:blipFill>
                    <a:blip r:embed="rId24"/>
                    <a:stretch>
                      <a:fillRect/>
                    </a:stretch>
                  </pic:blipFill>
                  <pic:spPr>
                    <a:xfrm>
                      <a:off x="0" y="0"/>
                      <a:ext cx="5029200" cy="2582562"/>
                    </a:xfrm>
                    <a:prstGeom prst="rect"/>
                  </pic:spPr>
                </pic:pic>
              </a:graphicData>
            </a:graphic>
          </wp:inline>
        </w:drawing>
      </w:r>
    </w:p>
    <w:p>
      <w:pPr>
        <w:keepNext/>
        <w:spacing w:before="40" w:after="200"/>
        <w:jc w:val="center"/>
      </w:pPr>
      <w:r>
        <w:rPr>
          <w:rFonts w:ascii="Times New Roman" w:hAnsi="Times New Roman"/>
          <w:b/>
          <w:color w:val="282828"/>
          <w:sz w:val="22"/>
        </w:rPr>
        <w:t>Figure 4.11: Data Mining Portal (Classification, Clustering, Association) GUI</w:t>
      </w:r>
    </w:p>
    <w:p>
      <w:pPr>
        <w:keepNext/>
        <w:spacing w:before="280" w:after="160"/>
      </w:pPr>
      <w:r>
        <w:rPr>
          <w:rFonts w:ascii="Times New Roman" w:hAnsi="Times New Roman"/>
          <w:b/>
          <w:color w:val="2C3E50"/>
          <w:sz w:val="26"/>
        </w:rPr>
        <w:t>4.3 System Code</w:t>
      </w:r>
    </w:p>
    <w:p>
      <w:pPr>
        <w:spacing w:before="0" w:after="120" w:line="276" w:lineRule="auto"/>
        <w:jc w:val="both"/>
      </w:pPr>
      <w:r>
        <w:rPr>
          <w:rFonts w:ascii="Times New Roman" w:hAnsi="Times New Roman"/>
          <w:b w:val="0"/>
          <w:i w:val="0"/>
          <w:color w:val="000000"/>
          <w:sz w:val="24"/>
        </w:rPr>
        <w:t>To illustrate core implementation logic without unmanageable code dumps, Table 4.4 provides a structured analysis of critical backend methods, routes, and data mining algorithms matching the reference format.</w:t>
      </w:r>
    </w:p>
    <w:p>
      <w:pPr>
        <w:spacing w:before="160" w:after="80"/>
      </w:pPr>
      <w:r>
        <w:rPr>
          <w:rFonts w:ascii="Times New Roman" w:hAnsi="Times New Roman"/>
          <w:b/>
          <w:sz w:val="22"/>
        </w:rPr>
        <w:t>Table 4.4: System Code Structure, Modules and Core Functions</w:t>
      </w:r>
    </w:p>
    <w:tbl>
      <w:tblPr>
        <w:tblW w:type="auto" w:w="0"/>
        <w:jc w:val="center"/>
        <w:tblLook w:firstColumn="1" w:firstRow="1" w:lastColumn="0" w:lastRow="0" w:noHBand="0" w:noVBand="1" w:val="04A0"/>
      </w:tblPr>
      <w:tblGrid>
        <w:gridCol w:w="2914"/>
        <w:gridCol w:w="2914"/>
        <w:gridCol w:w="2914"/>
      </w:tblGrid>
      <w:tr>
        <w:trPr>
          <w:cantSplit/>
          <w:tblHeader/>
        </w:trPr>
        <w:tc>
          <w:tcPr>
            <w:tcW w:type="dxa" w:w="2592"/>
            <w:tcMar>
              <w:top w:w="120" w:type="dxa"/>
              <w:bottom w:w="120" w:type="dxa"/>
              <w:left w:w="150" w:type="dxa"/>
              <w:right w:w="150" w:type="dxa"/>
            </w:tcMar>
            <w:shd w:fill="2C3E50"/>
          </w:tcPr>
          <w:p>
            <w:pPr>
              <w:jc w:val="center"/>
            </w:pPr>
            <w:r>
              <w:t>Module / Tag</w:t>
            </w:r>
          </w:p>
        </w:tc>
        <w:tc>
          <w:tcPr>
            <w:tcW w:type="dxa" w:w="3888"/>
            <w:tcMar>
              <w:top w:w="120" w:type="dxa"/>
              <w:bottom w:w="120" w:type="dxa"/>
              <w:left w:w="150" w:type="dxa"/>
              <w:right w:w="150" w:type="dxa"/>
            </w:tcMar>
            <w:shd w:fill="2C3E50"/>
          </w:tcPr>
          <w:p>
            <w:pPr>
              <w:jc w:val="center"/>
            </w:pPr>
            <w:r>
              <w:t>Core Implementation Snippet</w:t>
            </w:r>
          </w:p>
        </w:tc>
        <w:tc>
          <w:tcPr>
            <w:tcW w:type="dxa" w:w="3600"/>
            <w:tcMar>
              <w:top w:w="120" w:type="dxa"/>
              <w:bottom w:w="120" w:type="dxa"/>
              <w:left w:w="150" w:type="dxa"/>
              <w:right w:w="150" w:type="dxa"/>
            </w:tcMar>
            <w:shd w:fill="2C3E50"/>
          </w:tcPr>
          <w:p>
            <w:pPr>
              <w:jc w:val="center"/>
            </w:pPr>
            <w:r>
              <w:t>Functional Description</w:t>
            </w:r>
          </w:p>
        </w:tc>
      </w:tr>
      <w:tr>
        <w:trPr>
          <w:cantSplit/>
        </w:trPr>
        <w:tc>
          <w:tcPr>
            <w:tcW w:type="dxa" w:w="2592"/>
            <w:tcMar>
              <w:top w:w="120" w:type="dxa"/>
              <w:bottom w:w="120" w:type="dxa"/>
              <w:left w:w="150" w:type="dxa"/>
              <w:right w:w="150" w:type="dxa"/>
            </w:tcMar>
            <w:shd w:fill="F8F9FA"/>
          </w:tcPr>
          <w:p>
            <w:pPr>
              <w:jc w:val="center"/>
            </w:pPr>
            <w:r>
              <w:t>query_db()</w:t>
            </w:r>
          </w:p>
        </w:tc>
        <w:tc>
          <w:tcPr>
            <w:tcW w:type="dxa" w:w="3888"/>
            <w:tcMar>
              <w:top w:w="120" w:type="dxa"/>
              <w:bottom w:w="120" w:type="dxa"/>
              <w:left w:w="150" w:type="dxa"/>
              <w:right w:w="150" w:type="dxa"/>
            </w:tcMar>
            <w:shd w:fill="F8F9FA"/>
          </w:tcPr>
          <w:p>
            <w:pPr>
              <w:jc w:val="left"/>
            </w:pPr>
            <w:r>
              <w:rPr>
                <w:rFonts w:ascii="Courier New" w:hAnsi="Courier New"/>
                <w:sz w:val="17"/>
              </w:rPr>
              <w:t>conn = sqlite3.connect(db)</w:t>
              <w:br/>
              <w:t>conn.row_factory = sqlite3.Row</w:t>
              <w:br/>
              <w:t>cur = conn.cursor()</w:t>
              <w:br/>
              <w:t>cur.execute(query, args)</w:t>
              <w:br/>
              <w:t>return cur.fetchall()</w:t>
            </w:r>
          </w:p>
        </w:tc>
        <w:tc>
          <w:tcPr>
            <w:tcW w:type="dxa" w:w="3600"/>
            <w:tcMar>
              <w:top w:w="120" w:type="dxa"/>
              <w:bottom w:w="120" w:type="dxa"/>
              <w:left w:w="150" w:type="dxa"/>
              <w:right w:w="150" w:type="dxa"/>
            </w:tcMar>
            <w:shd w:fill="F8F9FA"/>
          </w:tcPr>
          <w:p>
            <w:pPr>
              <w:jc w:val="both"/>
            </w:pPr>
            <w:r>
              <w:t>Universal SQLite execution helper enabling thread-safe database connections and dictionary row indexing.</w:t>
            </w:r>
          </w:p>
        </w:tc>
      </w:tr>
      <w:tr>
        <w:trPr>
          <w:cantSplit/>
        </w:trPr>
        <w:tc>
          <w:tcPr>
            <w:tcW w:type="dxa" w:w="2592"/>
            <w:tcMar>
              <w:top w:w="120" w:type="dxa"/>
              <w:bottom w:w="120" w:type="dxa"/>
              <w:left w:w="150" w:type="dxa"/>
              <w:right w:w="150" w:type="dxa"/>
            </w:tcMar>
            <w:shd w:fill="FFFFFF"/>
          </w:tcPr>
          <w:p>
            <w:pPr>
              <w:jc w:val="center"/>
            </w:pPr>
            <w:r>
              <w:t>run_etl()</w:t>
            </w:r>
          </w:p>
        </w:tc>
        <w:tc>
          <w:tcPr>
            <w:tcW w:type="dxa" w:w="3888"/>
            <w:tcMar>
              <w:top w:w="120" w:type="dxa"/>
              <w:bottom w:w="120" w:type="dxa"/>
              <w:left w:w="150" w:type="dxa"/>
              <w:right w:w="150" w:type="dxa"/>
            </w:tcMar>
            <w:shd w:fill="FFFFFF"/>
          </w:tcPr>
          <w:p>
            <w:pPr>
              <w:jc w:val="left"/>
            </w:pPr>
            <w:r>
              <w:rPr>
                <w:rFonts w:ascii="Courier New" w:hAnsi="Courier New"/>
                <w:sz w:val="17"/>
              </w:rPr>
              <w:t>sales['sale_date'] = pd.to_datetime(sales['sale_date'])</w:t>
              <w:br/>
              <w:t>dim_date['date_id'] = dim_date['date_full'].dt.strftime('%Y%m%d')</w:t>
              <w:br/>
              <w:t>dim_category.to_sql('DIM_CATEGORY', dw_conn)</w:t>
              <w:br/>
              <w:t>fact_sales.to_sql('FACT_SALES', dw_conn)</w:t>
            </w:r>
          </w:p>
        </w:tc>
        <w:tc>
          <w:tcPr>
            <w:tcW w:type="dxa" w:w="3600"/>
            <w:tcMar>
              <w:top w:w="120" w:type="dxa"/>
              <w:bottom w:w="120" w:type="dxa"/>
              <w:left w:w="150" w:type="dxa"/>
              <w:right w:w="150" w:type="dxa"/>
            </w:tcMar>
            <w:shd w:fill="FFFFFF"/>
          </w:tcPr>
          <w:p>
            <w:pPr>
              <w:jc w:val="both"/>
            </w:pPr>
            <w:r>
              <w:t>Orchestrates extraction from operational tables, derives date surrogate keys, normalizes categories, and loads warehouse tables.</w:t>
            </w:r>
          </w:p>
        </w:tc>
      </w:tr>
      <w:tr>
        <w:trPr>
          <w:cantSplit/>
        </w:trPr>
        <w:tc>
          <w:tcPr>
            <w:tcW w:type="dxa" w:w="2592"/>
            <w:tcMar>
              <w:top w:w="120" w:type="dxa"/>
              <w:bottom w:w="120" w:type="dxa"/>
              <w:left w:w="150" w:type="dxa"/>
              <w:right w:w="150" w:type="dxa"/>
            </w:tcMar>
            <w:shd w:fill="F8F9FA"/>
          </w:tcPr>
          <w:p>
            <w:pPr>
              <w:jc w:val="center"/>
            </w:pPr>
            <w:r>
              <w:t>@app.route('/orders')</w:t>
            </w:r>
          </w:p>
        </w:tc>
        <w:tc>
          <w:tcPr>
            <w:tcW w:type="dxa" w:w="3888"/>
            <w:tcMar>
              <w:top w:w="120" w:type="dxa"/>
              <w:bottom w:w="120" w:type="dxa"/>
              <w:left w:w="150" w:type="dxa"/>
              <w:right w:w="150" w:type="dxa"/>
            </w:tcMar>
            <w:shd w:fill="F8F9FA"/>
          </w:tcPr>
          <w:p>
            <w:pPr>
              <w:jc w:val="left"/>
            </w:pPr>
            <w:r>
              <w:rPr>
                <w:rFonts w:ascii="Courier New" w:hAnsi="Courier New"/>
                <w:sz w:val="17"/>
              </w:rPr>
              <w:t>query = '''SELECT o.order_id, c.customer_name, p.product_name, s.supplier_name, o.quantity, o.order_status, ROUND((p.price * o.quantity), 2) FROM ORDERS o JOIN CUSTOMERS c ...'''</w:t>
            </w:r>
          </w:p>
        </w:tc>
        <w:tc>
          <w:tcPr>
            <w:tcW w:type="dxa" w:w="3600"/>
            <w:tcMar>
              <w:top w:w="120" w:type="dxa"/>
              <w:bottom w:w="120" w:type="dxa"/>
              <w:left w:w="150" w:type="dxa"/>
              <w:right w:w="150" w:type="dxa"/>
            </w:tcMar>
            <w:shd w:fill="F8F9FA"/>
          </w:tcPr>
          <w:p>
            <w:pPr>
              <w:jc w:val="both"/>
            </w:pPr>
            <w:r>
              <w:t>Operational orders route handling live multi-field substring search, order status filtering, and chronological sorting.</w:t>
            </w:r>
          </w:p>
        </w:tc>
      </w:tr>
      <w:tr>
        <w:trPr>
          <w:cantSplit/>
        </w:trPr>
        <w:tc>
          <w:tcPr>
            <w:tcW w:type="dxa" w:w="2592"/>
            <w:tcMar>
              <w:top w:w="120" w:type="dxa"/>
              <w:bottom w:w="120" w:type="dxa"/>
              <w:left w:w="150" w:type="dxa"/>
              <w:right w:w="150" w:type="dxa"/>
            </w:tcMar>
            <w:shd w:fill="FFFFFF"/>
          </w:tcPr>
          <w:p>
            <w:pPr>
              <w:jc w:val="center"/>
            </w:pPr>
            <w:r>
              <w:t>Classification Engine</w:t>
            </w:r>
          </w:p>
        </w:tc>
        <w:tc>
          <w:tcPr>
            <w:tcW w:type="dxa" w:w="3888"/>
            <w:tcMar>
              <w:top w:w="120" w:type="dxa"/>
              <w:bottom w:w="120" w:type="dxa"/>
              <w:left w:w="150" w:type="dxa"/>
              <w:right w:w="150" w:type="dxa"/>
            </w:tcMar>
            <w:shd w:fill="FFFFFF"/>
          </w:tcPr>
          <w:p>
            <w:pPr>
              <w:jc w:val="left"/>
            </w:pPr>
            <w:r>
              <w:rPr>
                <w:rFonts w:ascii="Courier New" w:hAnsi="Courier New"/>
                <w:sz w:val="17"/>
              </w:rPr>
              <w:t>X = pd.get_dummies(sales_df[['quantity', 'unit_price', 'category']])</w:t>
              <w:br/>
              <w:t>y = (sales_df['profit'] &gt; 500).astype(int)</w:t>
              <w:br/>
              <w:t>dt = DecisionTreeClassifier(random_state=42).fit(X_train, y_train)</w:t>
              <w:br/>
              <w:t>nb = GaussianNB().fit(X_train, y_train)</w:t>
            </w:r>
          </w:p>
        </w:tc>
        <w:tc>
          <w:tcPr>
            <w:tcW w:type="dxa" w:w="3600"/>
            <w:tcMar>
              <w:top w:w="120" w:type="dxa"/>
              <w:bottom w:w="120" w:type="dxa"/>
              <w:left w:w="150" w:type="dxa"/>
              <w:right w:w="150" w:type="dxa"/>
            </w:tcMar>
            <w:shd w:fill="FFFFFF"/>
          </w:tcPr>
          <w:p>
            <w:pPr>
              <w:jc w:val="both"/>
            </w:pPr>
            <w:r>
              <w:t>Supervised classification pipeline predicting order profitability (&gt;₹500), generating accuracy, precision, recall, and confusion matrix.</w:t>
            </w:r>
          </w:p>
        </w:tc>
      </w:tr>
      <w:tr>
        <w:trPr>
          <w:cantSplit/>
        </w:trPr>
        <w:tc>
          <w:tcPr>
            <w:tcW w:type="dxa" w:w="2592"/>
            <w:tcMar>
              <w:top w:w="120" w:type="dxa"/>
              <w:bottom w:w="120" w:type="dxa"/>
              <w:left w:w="150" w:type="dxa"/>
              <w:right w:w="150" w:type="dxa"/>
            </w:tcMar>
            <w:shd w:fill="F8F9FA"/>
          </w:tcPr>
          <w:p>
            <w:pPr>
              <w:jc w:val="center"/>
            </w:pPr>
            <w:r>
              <w:t>K-Means Clustering</w:t>
            </w:r>
          </w:p>
        </w:tc>
        <w:tc>
          <w:tcPr>
            <w:tcW w:type="dxa" w:w="3888"/>
            <w:tcMar>
              <w:top w:w="120" w:type="dxa"/>
              <w:bottom w:w="120" w:type="dxa"/>
              <w:left w:w="150" w:type="dxa"/>
              <w:right w:w="150" w:type="dxa"/>
            </w:tcMar>
            <w:shd w:fill="F8F9FA"/>
          </w:tcPr>
          <w:p>
            <w:pPr>
              <w:jc w:val="left"/>
            </w:pPr>
            <w:r>
              <w:rPr>
                <w:rFonts w:ascii="Courier New" w:hAnsi="Courier New"/>
                <w:sz w:val="17"/>
              </w:rPr>
              <w:t>scaled = StandardScaler().fit_transform(cust_df[['total_orders', 'total_spent']])</w:t>
              <w:br/>
              <w:t>kmeans = KMeans(n_clusters=3, random_state=42)</w:t>
              <w:br/>
              <w:t>cust_df['Cluster'] = kmeans.fit_predict(scaled)</w:t>
            </w:r>
          </w:p>
        </w:tc>
        <w:tc>
          <w:tcPr>
            <w:tcW w:type="dxa" w:w="3600"/>
            <w:tcMar>
              <w:top w:w="120" w:type="dxa"/>
              <w:bottom w:w="120" w:type="dxa"/>
              <w:left w:w="150" w:type="dxa"/>
              <w:right w:w="150" w:type="dxa"/>
            </w:tcMar>
            <w:shd w:fill="F8F9FA"/>
          </w:tcPr>
          <w:p>
            <w:pPr>
              <w:jc w:val="both"/>
            </w:pPr>
            <w:r>
              <w:t>Unsupervised segmentation grouping customers into three distinct behavioral clusters based on order count and lifetime value.</w:t>
            </w:r>
          </w:p>
        </w:tc>
      </w:tr>
      <w:tr>
        <w:trPr>
          <w:cantSplit/>
        </w:trPr>
        <w:tc>
          <w:tcPr>
            <w:tcW w:type="dxa" w:w="2592"/>
            <w:tcMar>
              <w:top w:w="120" w:type="dxa"/>
              <w:bottom w:w="120" w:type="dxa"/>
              <w:left w:w="150" w:type="dxa"/>
              <w:right w:w="150" w:type="dxa"/>
            </w:tcMar>
            <w:shd w:fill="FFFFFF"/>
          </w:tcPr>
          <w:p>
            <w:pPr>
              <w:jc w:val="center"/>
            </w:pPr>
            <w:r>
              <w:t>Apriori Association</w:t>
            </w:r>
          </w:p>
        </w:tc>
        <w:tc>
          <w:tcPr>
            <w:tcW w:type="dxa" w:w="3888"/>
            <w:tcMar>
              <w:top w:w="120" w:type="dxa"/>
              <w:bottom w:w="120" w:type="dxa"/>
              <w:left w:w="150" w:type="dxa"/>
              <w:right w:w="150" w:type="dxa"/>
            </w:tcMar>
            <w:shd w:fill="FFFFFF"/>
          </w:tcPr>
          <w:p>
            <w:pPr>
              <w:jc w:val="left"/>
            </w:pPr>
            <w:r>
              <w:rPr>
                <w:rFonts w:ascii="Courier New" w:hAnsi="Courier New"/>
                <w:sz w:val="17"/>
              </w:rPr>
              <w:t>basket = basket_df.groupby(['customer_id', 'product_name'])['product_name'].count().unstack().fillna(0)</w:t>
              <w:br/>
              <w:t>freq = apriori(basket &gt; 0, min_support=0.05, use_colnames=True)</w:t>
              <w:br/>
              <w:t>rules = association_rules(freq, metric='lift', min_threshold=1.0)</w:t>
            </w:r>
          </w:p>
        </w:tc>
        <w:tc>
          <w:tcPr>
            <w:tcW w:type="dxa" w:w="3600"/>
            <w:tcMar>
              <w:top w:w="120" w:type="dxa"/>
              <w:bottom w:w="120" w:type="dxa"/>
              <w:left w:w="150" w:type="dxa"/>
              <w:right w:w="150" w:type="dxa"/>
            </w:tcMar>
            <w:shd w:fill="FFFFFF"/>
          </w:tcPr>
          <w:p>
            <w:pPr>
              <w:jc w:val="both"/>
            </w:pPr>
            <w:r>
              <w:t>Executes Market Basket Analysis on customer purchase histories to discover cross-product affinities, support, and lift values.</w:t>
            </w:r>
          </w:p>
        </w:tc>
      </w:tr>
    </w:tbl>
    <w:p>
      <w:r>
        <w:br w:type="page"/>
      </w:r>
    </w:p>
    <w:p>
      <w:pPr>
        <w:spacing w:before="3600"/>
        <w:jc w:val="center"/>
      </w:pPr>
      <w:r>
        <w:rPr>
          <w:rFonts w:ascii="Times New Roman" w:hAnsi="Times New Roman"/>
          <w:b/>
          <w:sz w:val="36"/>
        </w:rPr>
        <w:t>CHAPTER 5</w:t>
        <w:br/>
        <w:br/>
        <w:t>RESULTS AND DISCUSSIONS</w:t>
      </w:r>
    </w:p>
    <w:p>
      <w:r>
        <w:br w:type="page"/>
      </w:r>
    </w:p>
    <w:p>
      <w:pPr>
        <w:jc w:val="center"/>
      </w:pPr>
      <w:r>
        <w:rPr>
          <w:rFonts w:ascii="Times New Roman" w:hAnsi="Times New Roman"/>
          <w:sz w:val="22"/>
        </w:rPr>
        <w:t>34</w:t>
        <w:br/>
      </w:r>
    </w:p>
    <w:p>
      <w:pPr>
        <w:keepNext/>
        <w:spacing w:before="200" w:after="300"/>
      </w:pPr>
      <w:r>
        <w:rPr>
          <w:rFonts w:ascii="Times New Roman" w:hAnsi="Times New Roman"/>
          <w:b/>
          <w:color w:val="2C3E50"/>
          <w:sz w:val="32"/>
        </w:rPr>
        <w:t>RESULTS AND DISCUSSIONS</w:t>
      </w:r>
    </w:p>
    <w:p>
      <w:pPr>
        <w:spacing w:before="0" w:after="120" w:line="276" w:lineRule="auto"/>
        <w:jc w:val="both"/>
      </w:pPr>
      <w:r>
        <w:rPr>
          <w:rFonts w:ascii="Times New Roman" w:hAnsi="Times New Roman"/>
          <w:b w:val="0"/>
          <w:i w:val="0"/>
          <w:color w:val="000000"/>
          <w:sz w:val="24"/>
        </w:rPr>
        <w:t>The empirical evaluation of LocalDrop was conducted directly on live SQLite databases and executed models. In strict adherence to academic honesty, all reported metrics, revenues, order totals, and machine learning evaluations reflect the actual, unmanipulated values generated by the system.</w:t>
      </w:r>
    </w:p>
    <w:p>
      <w:pPr>
        <w:keepNext/>
        <w:spacing w:before="280" w:after="160"/>
      </w:pPr>
      <w:r>
        <w:rPr>
          <w:rFonts w:ascii="Times New Roman" w:hAnsi="Times New Roman"/>
          <w:b/>
          <w:color w:val="2C3E50"/>
          <w:sz w:val="26"/>
        </w:rPr>
        <w:t>5.1 Dashboard Results</w:t>
      </w:r>
    </w:p>
    <w:p>
      <w:pPr>
        <w:spacing w:before="0" w:after="120" w:line="276" w:lineRule="auto"/>
        <w:jc w:val="both"/>
      </w:pPr>
      <w:r>
        <w:rPr>
          <w:rFonts w:ascii="Times New Roman" w:hAnsi="Times New Roman"/>
          <w:b w:val="0"/>
          <w:i w:val="0"/>
          <w:color w:val="000000"/>
          <w:sz w:val="24"/>
        </w:rPr>
        <w:t>The executive dashboard aggregates cumulative performance across all conformed dimensions. Table 5.1 provides the executive KPI summary computed live from localdrop_warehouse.db.</w:t>
      </w:r>
    </w:p>
    <w:p>
      <w:pPr>
        <w:spacing w:before="160" w:after="80"/>
      </w:pPr>
      <w:r>
        <w:rPr>
          <w:rFonts w:ascii="Times New Roman" w:hAnsi="Times New Roman"/>
          <w:b/>
          <w:sz w:val="22"/>
        </w:rPr>
        <w:t>Table 5.1: Executive Business Intelligence KPI Metrics Summary</w:t>
      </w:r>
    </w:p>
    <w:tbl>
      <w:tblPr>
        <w:tblW w:type="auto" w:w="0"/>
        <w:jc w:val="center"/>
        <w:tblLook w:firstColumn="1" w:firstRow="1" w:lastColumn="0" w:lastRow="0" w:noHBand="0" w:noVBand="1" w:val="04A0"/>
      </w:tblPr>
      <w:tblGrid>
        <w:gridCol w:w="2185"/>
        <w:gridCol w:w="2185"/>
        <w:gridCol w:w="2185"/>
        <w:gridCol w:w="2185"/>
      </w:tblGrid>
      <w:tr>
        <w:trPr>
          <w:cantSplit/>
          <w:tblHeader/>
        </w:trPr>
        <w:tc>
          <w:tcPr>
            <w:tcW w:type="dxa" w:w="2592"/>
            <w:tcMar>
              <w:top w:w="120" w:type="dxa"/>
              <w:bottom w:w="120" w:type="dxa"/>
              <w:left w:w="150" w:type="dxa"/>
              <w:right w:w="150" w:type="dxa"/>
            </w:tcMar>
            <w:shd w:fill="2C3E50"/>
          </w:tcPr>
          <w:p>
            <w:pPr>
              <w:jc w:val="center"/>
            </w:pPr>
            <w:r>
              <w:t>Executive KPI</w:t>
            </w:r>
          </w:p>
        </w:tc>
        <w:tc>
          <w:tcPr>
            <w:tcW w:type="dxa" w:w="2016"/>
            <w:tcMar>
              <w:top w:w="120" w:type="dxa"/>
              <w:bottom w:w="120" w:type="dxa"/>
              <w:left w:w="150" w:type="dxa"/>
              <w:right w:w="150" w:type="dxa"/>
            </w:tcMar>
            <w:shd w:fill="2C3E50"/>
          </w:tcPr>
          <w:p>
            <w:pPr>
              <w:jc w:val="center"/>
            </w:pPr>
            <w:r>
              <w:t>Computed Value</w:t>
            </w:r>
          </w:p>
        </w:tc>
        <w:tc>
          <w:tcPr>
            <w:tcW w:type="dxa" w:w="3312"/>
            <w:tcMar>
              <w:top w:w="120" w:type="dxa"/>
              <w:bottom w:w="120" w:type="dxa"/>
              <w:left w:w="150" w:type="dxa"/>
              <w:right w:w="150" w:type="dxa"/>
            </w:tcMar>
            <w:shd w:fill="2C3E50"/>
          </w:tcPr>
          <w:p>
            <w:pPr>
              <w:jc w:val="center"/>
            </w:pPr>
            <w:r>
              <w:t>Warehouse SQL Logic</w:t>
            </w:r>
          </w:p>
        </w:tc>
        <w:tc>
          <w:tcPr>
            <w:tcW w:type="dxa" w:w="2160"/>
            <w:tcMar>
              <w:top w:w="120" w:type="dxa"/>
              <w:bottom w:w="120" w:type="dxa"/>
              <w:left w:w="150" w:type="dxa"/>
              <w:right w:w="150" w:type="dxa"/>
            </w:tcMar>
            <w:shd w:fill="2C3E50"/>
          </w:tcPr>
          <w:p>
            <w:pPr>
              <w:jc w:val="center"/>
            </w:pPr>
            <w:r>
              <w:t>Business Insight</w:t>
            </w:r>
          </w:p>
        </w:tc>
      </w:tr>
      <w:tr>
        <w:trPr>
          <w:cantSplit/>
        </w:trPr>
        <w:tc>
          <w:tcPr>
            <w:tcW w:type="dxa" w:w="2592"/>
            <w:tcMar>
              <w:top w:w="120" w:type="dxa"/>
              <w:bottom w:w="120" w:type="dxa"/>
              <w:left w:w="150" w:type="dxa"/>
              <w:right w:w="150" w:type="dxa"/>
            </w:tcMar>
            <w:shd w:fill="F8F9FA"/>
          </w:tcPr>
          <w:p>
            <w:pPr>
              <w:jc w:val="center"/>
            </w:pPr>
            <w:r>
              <w:t>Total Cumulative Revenue</w:t>
            </w:r>
          </w:p>
        </w:tc>
        <w:tc>
          <w:tcPr>
            <w:tcW w:type="dxa" w:w="2016"/>
            <w:tcMar>
              <w:top w:w="120" w:type="dxa"/>
              <w:bottom w:w="120" w:type="dxa"/>
              <w:left w:w="150" w:type="dxa"/>
              <w:right w:w="150" w:type="dxa"/>
            </w:tcMar>
            <w:shd w:fill="F8F9FA"/>
          </w:tcPr>
          <w:p>
            <w:pPr>
              <w:jc w:val="right"/>
            </w:pPr>
            <w:r>
              <w:t>₹ 3,88,737.00</w:t>
            </w:r>
          </w:p>
        </w:tc>
        <w:tc>
          <w:tcPr>
            <w:tcW w:type="dxa" w:w="3312"/>
            <w:tcMar>
              <w:top w:w="120" w:type="dxa"/>
              <w:bottom w:w="120" w:type="dxa"/>
              <w:left w:w="150" w:type="dxa"/>
              <w:right w:w="150" w:type="dxa"/>
            </w:tcMar>
            <w:shd w:fill="F8F9FA"/>
          </w:tcPr>
          <w:p>
            <w:pPr>
              <w:jc w:val="left"/>
            </w:pPr>
            <w:r>
              <w:t>SELECT SUM(total_amount) FROM FACT_SALES</w:t>
            </w:r>
          </w:p>
        </w:tc>
        <w:tc>
          <w:tcPr>
            <w:tcW w:type="dxa" w:w="2160"/>
            <w:tcMar>
              <w:top w:w="120" w:type="dxa"/>
              <w:bottom w:w="120" w:type="dxa"/>
              <w:left w:w="150" w:type="dxa"/>
              <w:right w:w="150" w:type="dxa"/>
            </w:tcMar>
            <w:shd w:fill="F8F9FA"/>
          </w:tcPr>
          <w:p>
            <w:pPr>
              <w:jc w:val="both"/>
            </w:pPr>
            <w:r>
              <w:t>Reflects aggregate gross revenue from settled dropshipping orders.</w:t>
            </w:r>
          </w:p>
        </w:tc>
      </w:tr>
      <w:tr>
        <w:trPr>
          <w:cantSplit/>
        </w:trPr>
        <w:tc>
          <w:tcPr>
            <w:tcW w:type="dxa" w:w="2592"/>
            <w:tcMar>
              <w:top w:w="120" w:type="dxa"/>
              <w:bottom w:w="120" w:type="dxa"/>
              <w:left w:w="150" w:type="dxa"/>
              <w:right w:w="150" w:type="dxa"/>
            </w:tcMar>
            <w:shd w:fill="FFFFFF"/>
          </w:tcPr>
          <w:p>
            <w:pPr>
              <w:jc w:val="center"/>
            </w:pPr>
            <w:r>
              <w:t>Total Net Profit</w:t>
            </w:r>
          </w:p>
        </w:tc>
        <w:tc>
          <w:tcPr>
            <w:tcW w:type="dxa" w:w="2016"/>
            <w:tcMar>
              <w:top w:w="120" w:type="dxa"/>
              <w:bottom w:w="120" w:type="dxa"/>
              <w:left w:w="150" w:type="dxa"/>
              <w:right w:w="150" w:type="dxa"/>
            </w:tcMar>
            <w:shd w:fill="FFFFFF"/>
          </w:tcPr>
          <w:p>
            <w:pPr>
              <w:jc w:val="right"/>
            </w:pPr>
            <w:r>
              <w:t>₹ 1,92,637.00</w:t>
            </w:r>
          </w:p>
        </w:tc>
        <w:tc>
          <w:tcPr>
            <w:tcW w:type="dxa" w:w="3312"/>
            <w:tcMar>
              <w:top w:w="120" w:type="dxa"/>
              <w:bottom w:w="120" w:type="dxa"/>
              <w:left w:w="150" w:type="dxa"/>
              <w:right w:w="150" w:type="dxa"/>
            </w:tcMar>
            <w:shd w:fill="FFFFFF"/>
          </w:tcPr>
          <w:p>
            <w:pPr>
              <w:jc w:val="left"/>
            </w:pPr>
            <w:r>
              <w:t>SELECT SUM(profit) FROM FACT_SALES</w:t>
            </w:r>
          </w:p>
        </w:tc>
        <w:tc>
          <w:tcPr>
            <w:tcW w:type="dxa" w:w="2160"/>
            <w:tcMar>
              <w:top w:w="120" w:type="dxa"/>
              <w:bottom w:w="120" w:type="dxa"/>
              <w:left w:w="150" w:type="dxa"/>
              <w:right w:w="150" w:type="dxa"/>
            </w:tcMar>
            <w:shd w:fill="FFFFFF"/>
          </w:tcPr>
          <w:p>
            <w:pPr>
              <w:jc w:val="both"/>
            </w:pPr>
            <w:r>
              <w:t>Aggregate marketplace profit after deducting supplier wholesale costs (49.5% gross margin).</w:t>
            </w:r>
          </w:p>
        </w:tc>
      </w:tr>
      <w:tr>
        <w:trPr>
          <w:cantSplit/>
        </w:trPr>
        <w:tc>
          <w:tcPr>
            <w:tcW w:type="dxa" w:w="2592"/>
            <w:tcMar>
              <w:top w:w="120" w:type="dxa"/>
              <w:bottom w:w="120" w:type="dxa"/>
              <w:left w:w="150" w:type="dxa"/>
              <w:right w:w="150" w:type="dxa"/>
            </w:tcMar>
            <w:shd w:fill="F8F9FA"/>
          </w:tcPr>
          <w:p>
            <w:pPr>
              <w:jc w:val="center"/>
            </w:pPr>
            <w:r>
              <w:t>Total Settled Orders (Sales)</w:t>
            </w:r>
          </w:p>
        </w:tc>
        <w:tc>
          <w:tcPr>
            <w:tcW w:type="dxa" w:w="2016"/>
            <w:tcMar>
              <w:top w:w="120" w:type="dxa"/>
              <w:bottom w:w="120" w:type="dxa"/>
              <w:left w:w="150" w:type="dxa"/>
              <w:right w:w="150" w:type="dxa"/>
            </w:tcMar>
            <w:shd w:fill="F8F9FA"/>
          </w:tcPr>
          <w:p>
            <w:pPr>
              <w:jc w:val="right"/>
            </w:pPr>
            <w:r>
              <w:t>134 Orders</w:t>
            </w:r>
          </w:p>
        </w:tc>
        <w:tc>
          <w:tcPr>
            <w:tcW w:type="dxa" w:w="3312"/>
            <w:tcMar>
              <w:top w:w="120" w:type="dxa"/>
              <w:bottom w:w="120" w:type="dxa"/>
              <w:left w:w="150" w:type="dxa"/>
              <w:right w:w="150" w:type="dxa"/>
            </w:tcMar>
            <w:shd w:fill="F8F9FA"/>
          </w:tcPr>
          <w:p>
            <w:pPr>
              <w:jc w:val="left"/>
            </w:pPr>
            <w:r>
              <w:t>SELECT COUNT(DISTINCT sale_id) FROM FACT_SALES</w:t>
            </w:r>
          </w:p>
        </w:tc>
        <w:tc>
          <w:tcPr>
            <w:tcW w:type="dxa" w:w="2160"/>
            <w:tcMar>
              <w:top w:w="120" w:type="dxa"/>
              <w:bottom w:w="120" w:type="dxa"/>
              <w:left w:w="150" w:type="dxa"/>
              <w:right w:w="150" w:type="dxa"/>
            </w:tcMar>
            <w:shd w:fill="F8F9FA"/>
          </w:tcPr>
          <w:p>
            <w:pPr>
              <w:jc w:val="both"/>
            </w:pPr>
            <w:r>
              <w:t>Total count of successfully fulfilled and settled customer purchases.</w:t>
            </w:r>
          </w:p>
        </w:tc>
      </w:tr>
      <w:tr>
        <w:trPr>
          <w:cantSplit/>
        </w:trPr>
        <w:tc>
          <w:tcPr>
            <w:tcW w:type="dxa" w:w="2592"/>
            <w:tcMar>
              <w:top w:w="120" w:type="dxa"/>
              <w:bottom w:w="120" w:type="dxa"/>
              <w:left w:w="150" w:type="dxa"/>
              <w:right w:w="150" w:type="dxa"/>
            </w:tcMar>
            <w:shd w:fill="FFFFFF"/>
          </w:tcPr>
          <w:p>
            <w:pPr>
              <w:jc w:val="center"/>
            </w:pPr>
            <w:r>
              <w:t>Total Registered Customers</w:t>
            </w:r>
          </w:p>
        </w:tc>
        <w:tc>
          <w:tcPr>
            <w:tcW w:type="dxa" w:w="2016"/>
            <w:tcMar>
              <w:top w:w="120" w:type="dxa"/>
              <w:bottom w:w="120" w:type="dxa"/>
              <w:left w:w="150" w:type="dxa"/>
              <w:right w:w="150" w:type="dxa"/>
            </w:tcMar>
            <w:shd w:fill="FFFFFF"/>
          </w:tcPr>
          <w:p>
            <w:pPr>
              <w:jc w:val="right"/>
            </w:pPr>
            <w:r>
              <w:t>50 Customers</w:t>
            </w:r>
          </w:p>
        </w:tc>
        <w:tc>
          <w:tcPr>
            <w:tcW w:type="dxa" w:w="3312"/>
            <w:tcMar>
              <w:top w:w="120" w:type="dxa"/>
              <w:bottom w:w="120" w:type="dxa"/>
              <w:left w:w="150" w:type="dxa"/>
              <w:right w:w="150" w:type="dxa"/>
            </w:tcMar>
            <w:shd w:fill="FFFFFF"/>
          </w:tcPr>
          <w:p>
            <w:pPr>
              <w:jc w:val="left"/>
            </w:pPr>
            <w:r>
              <w:t>SELECT COUNT(DISTINCT customer_id) FROM DIM_CUSTOMER</w:t>
            </w:r>
          </w:p>
        </w:tc>
        <w:tc>
          <w:tcPr>
            <w:tcW w:type="dxa" w:w="2160"/>
            <w:tcMar>
              <w:top w:w="120" w:type="dxa"/>
              <w:bottom w:w="120" w:type="dxa"/>
              <w:left w:w="150" w:type="dxa"/>
              <w:right w:w="150" w:type="dxa"/>
            </w:tcMar>
            <w:shd w:fill="FFFFFF"/>
          </w:tcPr>
          <w:p>
            <w:pPr>
              <w:jc w:val="both"/>
            </w:pPr>
            <w:r>
              <w:t>Unique active buyers represented within the customer dimension.</w:t>
            </w:r>
          </w:p>
        </w:tc>
      </w:tr>
    </w:tbl>
    <w:p>
      <w:pPr>
        <w:keepNext/>
        <w:spacing w:before="280" w:after="160"/>
      </w:pPr>
      <w:r>
        <w:rPr>
          <w:rFonts w:ascii="Times New Roman" w:hAnsi="Times New Roman"/>
          <w:b/>
          <w:color w:val="2C3E50"/>
          <w:sz w:val="26"/>
        </w:rPr>
        <w:t>5.2 Operational Data Results</w:t>
      </w:r>
    </w:p>
    <w:p>
      <w:pPr>
        <w:spacing w:before="0" w:after="120" w:line="276" w:lineRule="auto"/>
        <w:jc w:val="both"/>
      </w:pPr>
      <w:r>
        <w:rPr>
          <w:rFonts w:ascii="Times New Roman" w:hAnsi="Times New Roman"/>
          <w:b w:val="0"/>
          <w:i w:val="0"/>
          <w:color w:val="000000"/>
          <w:sz w:val="24"/>
        </w:rPr>
        <w:t>The operational source database successfully persisted 50 customer profiles across 12 Indian states, 15 verified suppliers, and 10 catalog products. A total of 206 transactional orders were generated, of which 134 attained 'Delivered' status, generating corresponding settled records in the SALES table. The remaining orders reside in 'Shipped' (24), 'Processing' (23), or 'Cancelled' (25) states, demonstrating realistic supply chain logistics flow.</w:t>
      </w:r>
    </w:p>
    <w:p>
      <w:pPr>
        <w:keepNext/>
        <w:spacing w:before="280" w:after="160"/>
      </w:pPr>
      <w:r>
        <w:rPr>
          <w:rFonts w:ascii="Times New Roman" w:hAnsi="Times New Roman"/>
          <w:b/>
          <w:color w:val="2C3E50"/>
          <w:sz w:val="26"/>
        </w:rPr>
        <w:t>5.3 Analytical SQL Results</w:t>
      </w:r>
    </w:p>
    <w:p>
      <w:pPr>
        <w:spacing w:before="0" w:after="120" w:line="276" w:lineRule="auto"/>
        <w:jc w:val="both"/>
      </w:pPr>
      <w:r>
        <w:rPr>
          <w:rFonts w:ascii="Times New Roman" w:hAnsi="Times New Roman"/>
          <w:b w:val="0"/>
          <w:i w:val="0"/>
          <w:color w:val="000000"/>
          <w:sz w:val="24"/>
        </w:rPr>
        <w:t>Ten required analytical SQL queries were executed against localdrop_warehouse.db. Table 5.2 highlights the specific findings.</w:t>
      </w:r>
    </w:p>
    <w:p>
      <w:pPr>
        <w:spacing w:before="160" w:after="80"/>
      </w:pPr>
      <w:r>
        <w:rPr>
          <w:rFonts w:ascii="Times New Roman" w:hAnsi="Times New Roman"/>
          <w:b/>
          <w:sz w:val="22"/>
        </w:rPr>
        <w:t>Table 5.2: Analytical SQL Aggregation Query Execution Results</w:t>
      </w:r>
    </w:p>
    <w:tbl>
      <w:tblPr>
        <w:tblW w:type="auto" w:w="0"/>
        <w:jc w:val="center"/>
        <w:tblLook w:firstColumn="1" w:firstRow="1" w:lastColumn="0" w:lastRow="0" w:noHBand="0" w:noVBand="1" w:val="04A0"/>
      </w:tblPr>
      <w:tblGrid>
        <w:gridCol w:w="2914"/>
        <w:gridCol w:w="2914"/>
        <w:gridCol w:w="2914"/>
      </w:tblGrid>
      <w:tr>
        <w:trPr>
          <w:cantSplit/>
          <w:tblHeader/>
        </w:trPr>
        <w:tc>
          <w:tcPr>
            <w:tcW w:type="dxa" w:w="2880"/>
            <w:tcMar>
              <w:top w:w="120" w:type="dxa"/>
              <w:bottom w:w="120" w:type="dxa"/>
              <w:left w:w="150" w:type="dxa"/>
              <w:right w:w="150" w:type="dxa"/>
            </w:tcMar>
            <w:shd w:fill="2C3E50"/>
          </w:tcPr>
          <w:p>
            <w:pPr>
              <w:jc w:val="center"/>
            </w:pPr>
            <w:r>
              <w:t>Analytical Query Target</w:t>
            </w:r>
          </w:p>
        </w:tc>
        <w:tc>
          <w:tcPr>
            <w:tcW w:type="dxa" w:w="3168"/>
            <w:tcMar>
              <w:top w:w="120" w:type="dxa"/>
              <w:bottom w:w="120" w:type="dxa"/>
              <w:left w:w="150" w:type="dxa"/>
              <w:right w:w="150" w:type="dxa"/>
            </w:tcMar>
            <w:shd w:fill="2C3E50"/>
          </w:tcPr>
          <w:p>
            <w:pPr>
              <w:jc w:val="center"/>
            </w:pPr>
            <w:r>
              <w:t>Actual Output Value</w:t>
            </w:r>
          </w:p>
        </w:tc>
        <w:tc>
          <w:tcPr>
            <w:tcW w:type="dxa" w:w="4032"/>
            <w:tcMar>
              <w:top w:w="120" w:type="dxa"/>
              <w:bottom w:w="120" w:type="dxa"/>
              <w:left w:w="150" w:type="dxa"/>
              <w:right w:w="150" w:type="dxa"/>
            </w:tcMar>
            <w:shd w:fill="2C3E50"/>
          </w:tcPr>
          <w:p>
            <w:pPr>
              <w:jc w:val="center"/>
            </w:pPr>
            <w:r>
              <w:t>Business Interpretation</w:t>
            </w:r>
          </w:p>
        </w:tc>
      </w:tr>
      <w:tr>
        <w:trPr>
          <w:cantSplit/>
        </w:trPr>
        <w:tc>
          <w:tcPr>
            <w:tcW w:type="dxa" w:w="2880"/>
            <w:tcMar>
              <w:top w:w="120" w:type="dxa"/>
              <w:bottom w:w="120" w:type="dxa"/>
              <w:left w:w="150" w:type="dxa"/>
              <w:right w:w="150" w:type="dxa"/>
            </w:tcMar>
            <w:shd w:fill="F8F9FA"/>
          </w:tcPr>
          <w:p>
            <w:pPr>
              <w:jc w:val="left"/>
            </w:pPr>
            <w:r>
              <w:t>1. Total Revenue</w:t>
            </w:r>
          </w:p>
        </w:tc>
        <w:tc>
          <w:tcPr>
            <w:tcW w:type="dxa" w:w="3168"/>
            <w:tcMar>
              <w:top w:w="120" w:type="dxa"/>
              <w:bottom w:w="120" w:type="dxa"/>
              <w:left w:w="150" w:type="dxa"/>
              <w:right w:w="150" w:type="dxa"/>
            </w:tcMar>
            <w:shd w:fill="F8F9FA"/>
          </w:tcPr>
          <w:p>
            <w:pPr>
              <w:jc w:val="center"/>
            </w:pPr>
            <w:r>
              <w:t>₹ 3,88,737.00</w:t>
            </w:r>
          </w:p>
        </w:tc>
        <w:tc>
          <w:tcPr>
            <w:tcW w:type="dxa" w:w="4032"/>
            <w:tcMar>
              <w:top w:w="120" w:type="dxa"/>
              <w:bottom w:w="120" w:type="dxa"/>
              <w:left w:w="150" w:type="dxa"/>
              <w:right w:w="150" w:type="dxa"/>
            </w:tcMar>
            <w:shd w:fill="F8F9FA"/>
          </w:tcPr>
          <w:p>
            <w:pPr>
              <w:jc w:val="both"/>
            </w:pPr>
            <w:r>
              <w:t>Gross marketplace transaction turnover.</w:t>
            </w:r>
          </w:p>
        </w:tc>
      </w:tr>
      <w:tr>
        <w:trPr>
          <w:cantSplit/>
        </w:trPr>
        <w:tc>
          <w:tcPr>
            <w:tcW w:type="dxa" w:w="2880"/>
            <w:tcMar>
              <w:top w:w="120" w:type="dxa"/>
              <w:bottom w:w="120" w:type="dxa"/>
              <w:left w:w="150" w:type="dxa"/>
              <w:right w:w="150" w:type="dxa"/>
            </w:tcMar>
            <w:shd w:fill="FFFFFF"/>
          </w:tcPr>
          <w:p>
            <w:pPr>
              <w:jc w:val="left"/>
            </w:pPr>
            <w:r>
              <w:t>2. Total Orders</w:t>
            </w:r>
          </w:p>
        </w:tc>
        <w:tc>
          <w:tcPr>
            <w:tcW w:type="dxa" w:w="3168"/>
            <w:tcMar>
              <w:top w:w="120" w:type="dxa"/>
              <w:bottom w:w="120" w:type="dxa"/>
              <w:left w:w="150" w:type="dxa"/>
              <w:right w:w="150" w:type="dxa"/>
            </w:tcMar>
            <w:shd w:fill="FFFFFF"/>
          </w:tcPr>
          <w:p>
            <w:pPr>
              <w:jc w:val="center"/>
            </w:pPr>
            <w:r>
              <w:t>134 Orders</w:t>
            </w:r>
          </w:p>
        </w:tc>
        <w:tc>
          <w:tcPr>
            <w:tcW w:type="dxa" w:w="4032"/>
            <w:tcMar>
              <w:top w:w="120" w:type="dxa"/>
              <w:bottom w:w="120" w:type="dxa"/>
              <w:left w:w="150" w:type="dxa"/>
              <w:right w:w="150" w:type="dxa"/>
            </w:tcMar>
            <w:shd w:fill="FFFFFF"/>
          </w:tcPr>
          <w:p>
            <w:pPr>
              <w:jc w:val="both"/>
            </w:pPr>
            <w:r>
              <w:t>Total fulfilled order transactions.</w:t>
            </w:r>
          </w:p>
        </w:tc>
      </w:tr>
      <w:tr>
        <w:trPr>
          <w:cantSplit/>
        </w:trPr>
        <w:tc>
          <w:tcPr>
            <w:tcW w:type="dxa" w:w="2880"/>
            <w:tcMar>
              <w:top w:w="120" w:type="dxa"/>
              <w:bottom w:w="120" w:type="dxa"/>
              <w:left w:w="150" w:type="dxa"/>
              <w:right w:w="150" w:type="dxa"/>
            </w:tcMar>
            <w:shd w:fill="F8F9FA"/>
          </w:tcPr>
          <w:p>
            <w:pPr>
              <w:jc w:val="left"/>
            </w:pPr>
            <w:r>
              <w:t>3. Total Profit</w:t>
            </w:r>
          </w:p>
        </w:tc>
        <w:tc>
          <w:tcPr>
            <w:tcW w:type="dxa" w:w="3168"/>
            <w:tcMar>
              <w:top w:w="120" w:type="dxa"/>
              <w:bottom w:w="120" w:type="dxa"/>
              <w:left w:w="150" w:type="dxa"/>
              <w:right w:w="150" w:type="dxa"/>
            </w:tcMar>
            <w:shd w:fill="F8F9FA"/>
          </w:tcPr>
          <w:p>
            <w:pPr>
              <w:jc w:val="center"/>
            </w:pPr>
            <w:r>
              <w:t>₹ 1,92,637.00</w:t>
            </w:r>
          </w:p>
        </w:tc>
        <w:tc>
          <w:tcPr>
            <w:tcW w:type="dxa" w:w="4032"/>
            <w:tcMar>
              <w:top w:w="120" w:type="dxa"/>
              <w:bottom w:w="120" w:type="dxa"/>
              <w:left w:w="150" w:type="dxa"/>
              <w:right w:w="150" w:type="dxa"/>
            </w:tcMar>
            <w:shd w:fill="F8F9FA"/>
          </w:tcPr>
          <w:p>
            <w:pPr>
              <w:jc w:val="both"/>
            </w:pPr>
            <w:r>
              <w:t>Aggregate platform net profit.</w:t>
            </w:r>
          </w:p>
        </w:tc>
      </w:tr>
      <w:tr>
        <w:trPr>
          <w:cantSplit/>
        </w:trPr>
        <w:tc>
          <w:tcPr>
            <w:tcW w:type="dxa" w:w="2880"/>
            <w:tcMar>
              <w:top w:w="120" w:type="dxa"/>
              <w:bottom w:w="120" w:type="dxa"/>
              <w:left w:w="150" w:type="dxa"/>
              <w:right w:w="150" w:type="dxa"/>
            </w:tcMar>
            <w:shd w:fill="FFFFFF"/>
          </w:tcPr>
          <w:p>
            <w:pPr>
              <w:jc w:val="left"/>
            </w:pPr>
            <w:r>
              <w:t>4. Monthly Peak Sales</w:t>
            </w:r>
          </w:p>
        </w:tc>
        <w:tc>
          <w:tcPr>
            <w:tcW w:type="dxa" w:w="3168"/>
            <w:tcMar>
              <w:top w:w="120" w:type="dxa"/>
              <w:bottom w:w="120" w:type="dxa"/>
              <w:left w:w="150" w:type="dxa"/>
              <w:right w:w="150" w:type="dxa"/>
            </w:tcMar>
            <w:shd w:fill="FFFFFF"/>
          </w:tcPr>
          <w:p>
            <w:pPr>
              <w:jc w:val="center"/>
            </w:pPr>
            <w:r>
              <w:t>₹ 63,794.00 (Sept 2026)</w:t>
            </w:r>
          </w:p>
        </w:tc>
        <w:tc>
          <w:tcPr>
            <w:tcW w:type="dxa" w:w="4032"/>
            <w:tcMar>
              <w:top w:w="120" w:type="dxa"/>
              <w:bottom w:w="120" w:type="dxa"/>
              <w:left w:w="150" w:type="dxa"/>
              <w:right w:w="150" w:type="dxa"/>
            </w:tcMar>
            <w:shd w:fill="FFFFFF"/>
          </w:tcPr>
          <w:p>
            <w:pPr>
              <w:jc w:val="both"/>
            </w:pPr>
            <w:r>
              <w:t>Highest monthly turnover recorded during pre-holiday shopping surge.</w:t>
            </w:r>
          </w:p>
        </w:tc>
      </w:tr>
      <w:tr>
        <w:trPr>
          <w:cantSplit/>
        </w:trPr>
        <w:tc>
          <w:tcPr>
            <w:tcW w:type="dxa" w:w="2880"/>
            <w:tcMar>
              <w:top w:w="120" w:type="dxa"/>
              <w:bottom w:w="120" w:type="dxa"/>
              <w:left w:w="150" w:type="dxa"/>
              <w:right w:w="150" w:type="dxa"/>
            </w:tcMar>
            <w:shd w:fill="F8F9FA"/>
          </w:tcPr>
          <w:p>
            <w:pPr>
              <w:jc w:val="left"/>
            </w:pPr>
            <w:r>
              <w:t>5. Top Selling Product</w:t>
            </w:r>
          </w:p>
        </w:tc>
        <w:tc>
          <w:tcPr>
            <w:tcW w:type="dxa" w:w="3168"/>
            <w:tcMar>
              <w:top w:w="120" w:type="dxa"/>
              <w:bottom w:w="120" w:type="dxa"/>
              <w:left w:w="150" w:type="dxa"/>
              <w:right w:w="150" w:type="dxa"/>
            </w:tcMar>
            <w:shd w:fill="F8F9FA"/>
          </w:tcPr>
          <w:p>
            <w:pPr>
              <w:jc w:val="center"/>
            </w:pPr>
            <w:r>
              <w:t>Smart Watch (₹ 1,36,000.00)</w:t>
            </w:r>
          </w:p>
        </w:tc>
        <w:tc>
          <w:tcPr>
            <w:tcW w:type="dxa" w:w="4032"/>
            <w:tcMar>
              <w:top w:w="120" w:type="dxa"/>
              <w:bottom w:w="120" w:type="dxa"/>
              <w:left w:w="150" w:type="dxa"/>
              <w:right w:w="150" w:type="dxa"/>
            </w:tcMar>
            <w:shd w:fill="F8F9FA"/>
          </w:tcPr>
          <w:p>
            <w:pPr>
              <w:jc w:val="both"/>
            </w:pPr>
            <w:r>
              <w:t>Generated 35.0% of total marketplace revenue.</w:t>
            </w:r>
          </w:p>
        </w:tc>
      </w:tr>
      <w:tr>
        <w:trPr>
          <w:cantSplit/>
        </w:trPr>
        <w:tc>
          <w:tcPr>
            <w:tcW w:type="dxa" w:w="2880"/>
            <w:tcMar>
              <w:top w:w="120" w:type="dxa"/>
              <w:bottom w:w="120" w:type="dxa"/>
              <w:left w:w="150" w:type="dxa"/>
              <w:right w:w="150" w:type="dxa"/>
            </w:tcMar>
            <w:shd w:fill="FFFFFF"/>
          </w:tcPr>
          <w:p>
            <w:pPr>
              <w:jc w:val="left"/>
            </w:pPr>
            <w:r>
              <w:t>6. Leading Category</w:t>
            </w:r>
          </w:p>
        </w:tc>
        <w:tc>
          <w:tcPr>
            <w:tcW w:type="dxa" w:w="3168"/>
            <w:tcMar>
              <w:top w:w="120" w:type="dxa"/>
              <w:bottom w:w="120" w:type="dxa"/>
              <w:left w:w="150" w:type="dxa"/>
              <w:right w:w="150" w:type="dxa"/>
            </w:tcMar>
            <w:shd w:fill="FFFFFF"/>
          </w:tcPr>
          <w:p>
            <w:pPr>
              <w:jc w:val="center"/>
            </w:pPr>
            <w:r>
              <w:t>Electronics (₹ 2,88,937.00)</w:t>
            </w:r>
          </w:p>
        </w:tc>
        <w:tc>
          <w:tcPr>
            <w:tcW w:type="dxa" w:w="4032"/>
            <w:tcMar>
              <w:top w:w="120" w:type="dxa"/>
              <w:bottom w:w="120" w:type="dxa"/>
              <w:left w:w="150" w:type="dxa"/>
              <w:right w:w="150" w:type="dxa"/>
            </w:tcMar>
            <w:shd w:fill="FFFFFF"/>
          </w:tcPr>
          <w:p>
            <w:pPr>
              <w:jc w:val="both"/>
            </w:pPr>
            <w:r>
              <w:t>Accounts for 74.3% of cumulative marketplace volume.</w:t>
            </w:r>
          </w:p>
        </w:tc>
      </w:tr>
      <w:tr>
        <w:trPr>
          <w:cantSplit/>
        </w:trPr>
        <w:tc>
          <w:tcPr>
            <w:tcW w:type="dxa" w:w="2880"/>
            <w:tcMar>
              <w:top w:w="120" w:type="dxa"/>
              <w:bottom w:w="120" w:type="dxa"/>
              <w:left w:w="150" w:type="dxa"/>
              <w:right w:w="150" w:type="dxa"/>
            </w:tcMar>
            <w:shd w:fill="F8F9FA"/>
          </w:tcPr>
          <w:p>
            <w:pPr>
              <w:jc w:val="left"/>
            </w:pPr>
            <w:r>
              <w:t>7. Top Supplier</w:t>
            </w:r>
          </w:p>
        </w:tc>
        <w:tc>
          <w:tcPr>
            <w:tcW w:type="dxa" w:w="3168"/>
            <w:tcMar>
              <w:top w:w="120" w:type="dxa"/>
              <w:bottom w:w="120" w:type="dxa"/>
              <w:left w:w="150" w:type="dxa"/>
              <w:right w:w="150" w:type="dxa"/>
            </w:tcMar>
            <w:shd w:fill="F8F9FA"/>
          </w:tcPr>
          <w:p>
            <w:pPr>
              <w:jc w:val="center"/>
            </w:pPr>
            <w:r>
              <w:t>Jhaveri, Varkey &amp; Tella (₹ 1,61,600.00)</w:t>
            </w:r>
          </w:p>
        </w:tc>
        <w:tc>
          <w:tcPr>
            <w:tcW w:type="dxa" w:w="4032"/>
            <w:tcMar>
              <w:top w:w="120" w:type="dxa"/>
              <w:bottom w:w="120" w:type="dxa"/>
              <w:left w:w="150" w:type="dxa"/>
              <w:right w:w="150" w:type="dxa"/>
            </w:tcMar>
            <w:shd w:fill="F8F9FA"/>
          </w:tcPr>
          <w:p>
            <w:pPr>
              <w:jc w:val="both"/>
            </w:pPr>
            <w:r>
              <w:t>Top revenue-generating local supplier partner.</w:t>
            </w:r>
          </w:p>
        </w:tc>
      </w:tr>
      <w:tr>
        <w:trPr>
          <w:cantSplit/>
        </w:trPr>
        <w:tc>
          <w:tcPr>
            <w:tcW w:type="dxa" w:w="2880"/>
            <w:tcMar>
              <w:top w:w="120" w:type="dxa"/>
              <w:bottom w:w="120" w:type="dxa"/>
              <w:left w:w="150" w:type="dxa"/>
              <w:right w:w="150" w:type="dxa"/>
            </w:tcMar>
            <w:shd w:fill="FFFFFF"/>
          </w:tcPr>
          <w:p>
            <w:pPr>
              <w:jc w:val="left"/>
            </w:pPr>
            <w:r>
              <w:t>8. Highest Customer Spend</w:t>
            </w:r>
          </w:p>
        </w:tc>
        <w:tc>
          <w:tcPr>
            <w:tcW w:type="dxa" w:w="3168"/>
            <w:tcMar>
              <w:top w:w="120" w:type="dxa"/>
              <w:bottom w:w="120" w:type="dxa"/>
              <w:left w:w="150" w:type="dxa"/>
              <w:right w:w="150" w:type="dxa"/>
            </w:tcMar>
            <w:shd w:fill="FFFFFF"/>
          </w:tcPr>
          <w:p>
            <w:pPr>
              <w:jc w:val="center"/>
            </w:pPr>
            <w:r>
              <w:t>₹ 24,600.00 (Customer #12)</w:t>
            </w:r>
          </w:p>
        </w:tc>
        <w:tc>
          <w:tcPr>
            <w:tcW w:type="dxa" w:w="4032"/>
            <w:tcMar>
              <w:top w:w="120" w:type="dxa"/>
              <w:bottom w:w="120" w:type="dxa"/>
              <w:left w:w="150" w:type="dxa"/>
              <w:right w:w="150" w:type="dxa"/>
            </w:tcMar>
            <w:shd w:fill="FFFFFF"/>
          </w:tcPr>
          <w:p>
            <w:pPr>
              <w:jc w:val="both"/>
            </w:pPr>
            <w:r>
              <w:t>Top buyer executing multiple high-ticket electronics orders.</w:t>
            </w:r>
          </w:p>
        </w:tc>
      </w:tr>
      <w:tr>
        <w:trPr>
          <w:cantSplit/>
        </w:trPr>
        <w:tc>
          <w:tcPr>
            <w:tcW w:type="dxa" w:w="2880"/>
            <w:tcMar>
              <w:top w:w="120" w:type="dxa"/>
              <w:bottom w:w="120" w:type="dxa"/>
              <w:left w:w="150" w:type="dxa"/>
              <w:right w:w="150" w:type="dxa"/>
            </w:tcMar>
            <w:shd w:fill="F8F9FA"/>
          </w:tcPr>
          <w:p>
            <w:pPr>
              <w:jc w:val="left"/>
            </w:pPr>
            <w:r>
              <w:t>9. Order Status Breakdown</w:t>
            </w:r>
          </w:p>
        </w:tc>
        <w:tc>
          <w:tcPr>
            <w:tcW w:type="dxa" w:w="3168"/>
            <w:tcMar>
              <w:top w:w="120" w:type="dxa"/>
              <w:bottom w:w="120" w:type="dxa"/>
              <w:left w:w="150" w:type="dxa"/>
              <w:right w:w="150" w:type="dxa"/>
            </w:tcMar>
            <w:shd w:fill="F8F9FA"/>
          </w:tcPr>
          <w:p>
            <w:pPr>
              <w:jc w:val="center"/>
            </w:pPr>
            <w:r>
              <w:t>Delivered: 134, Shipped: 24, Processing: 23, Cancelled: 25</w:t>
            </w:r>
          </w:p>
        </w:tc>
        <w:tc>
          <w:tcPr>
            <w:tcW w:type="dxa" w:w="4032"/>
            <w:tcMar>
              <w:top w:w="120" w:type="dxa"/>
              <w:bottom w:w="120" w:type="dxa"/>
              <w:left w:w="150" w:type="dxa"/>
              <w:right w:w="150" w:type="dxa"/>
            </w:tcMar>
            <w:shd w:fill="F8F9FA"/>
          </w:tcPr>
          <w:p>
            <w:pPr>
              <w:jc w:val="both"/>
            </w:pPr>
            <w:r>
              <w:t>Demonstrates 65.0% fulfillment success rate.</w:t>
            </w:r>
          </w:p>
        </w:tc>
      </w:tr>
      <w:tr>
        <w:trPr>
          <w:cantSplit/>
        </w:trPr>
        <w:tc>
          <w:tcPr>
            <w:tcW w:type="dxa" w:w="2880"/>
            <w:tcMar>
              <w:top w:w="120" w:type="dxa"/>
              <w:bottom w:w="120" w:type="dxa"/>
              <w:left w:w="150" w:type="dxa"/>
              <w:right w:w="150" w:type="dxa"/>
            </w:tcMar>
            <w:shd w:fill="FFFFFF"/>
          </w:tcPr>
          <w:p>
            <w:pPr>
              <w:jc w:val="left"/>
            </w:pPr>
            <w:r>
              <w:t>10. Average Order Value</w:t>
            </w:r>
          </w:p>
        </w:tc>
        <w:tc>
          <w:tcPr>
            <w:tcW w:type="dxa" w:w="3168"/>
            <w:tcMar>
              <w:top w:w="120" w:type="dxa"/>
              <w:bottom w:w="120" w:type="dxa"/>
              <w:left w:w="150" w:type="dxa"/>
              <w:right w:w="150" w:type="dxa"/>
            </w:tcMar>
            <w:shd w:fill="FFFFFF"/>
          </w:tcPr>
          <w:p>
            <w:pPr>
              <w:jc w:val="center"/>
            </w:pPr>
            <w:r>
              <w:t>₹ 2,901.02</w:t>
            </w:r>
          </w:p>
        </w:tc>
        <w:tc>
          <w:tcPr>
            <w:tcW w:type="dxa" w:w="4032"/>
            <w:tcMar>
              <w:top w:w="120" w:type="dxa"/>
              <w:bottom w:w="120" w:type="dxa"/>
              <w:left w:w="150" w:type="dxa"/>
              <w:right w:w="150" w:type="dxa"/>
            </w:tcMar>
            <w:shd w:fill="FFFFFF"/>
          </w:tcPr>
          <w:p>
            <w:pPr>
              <w:jc w:val="both"/>
            </w:pPr>
            <w:r>
              <w:t>Mean transaction basket value across all settled sales.</w:t>
            </w:r>
          </w:p>
        </w:tc>
      </w:tr>
    </w:tbl>
    <w:p>
      <w:pPr>
        <w:spacing w:before="160" w:after="80"/>
        <w:jc w:val="center"/>
      </w:pPr>
      <w:r>
        <w:drawing>
          <wp:inline xmlns:a="http://schemas.openxmlformats.org/drawingml/2006/main" xmlns:pic="http://schemas.openxmlformats.org/drawingml/2006/picture">
            <wp:extent cx="5029200" cy="2682240"/>
            <wp:docPr id="17" name="Picture 17"/>
            <wp:cNvGraphicFramePr>
              <a:graphicFrameLocks noChangeAspect="1"/>
            </wp:cNvGraphicFramePr>
            <a:graphic>
              <a:graphicData uri="http://schemas.openxmlformats.org/drawingml/2006/picture">
                <pic:pic>
                  <pic:nvPicPr>
                    <pic:cNvPr id="0" name="fig_monthly_trend.png"/>
                    <pic:cNvPicPr/>
                  </pic:nvPicPr>
                  <pic:blipFill>
                    <a:blip r:embed="rId25"/>
                    <a:stretch>
                      <a:fillRect/>
                    </a:stretch>
                  </pic:blipFill>
                  <pic:spPr>
                    <a:xfrm>
                      <a:off x="0" y="0"/>
                      <a:ext cx="5029200" cy="2682240"/>
                    </a:xfrm>
                    <a:prstGeom prst="rect"/>
                  </pic:spPr>
                </pic:pic>
              </a:graphicData>
            </a:graphic>
          </wp:inline>
        </w:drawing>
      </w:r>
    </w:p>
    <w:p>
      <w:pPr>
        <w:keepNext/>
        <w:spacing w:before="40" w:after="200"/>
        <w:jc w:val="center"/>
      </w:pPr>
      <w:r>
        <w:rPr>
          <w:rFonts w:ascii="Times New Roman" w:hAnsi="Times New Roman"/>
          <w:b/>
          <w:color w:val="282828"/>
          <w:sz w:val="22"/>
        </w:rPr>
        <w:t>Figure 5.1: Monthly Sales Revenue Trend (OLAP Analytical Result)</w:t>
      </w:r>
    </w:p>
    <w:p>
      <w:pPr>
        <w:keepNext/>
        <w:spacing w:before="280" w:after="160"/>
      </w:pPr>
      <w:r>
        <w:rPr>
          <w:rFonts w:ascii="Times New Roman" w:hAnsi="Times New Roman"/>
          <w:b/>
          <w:color w:val="2C3E50"/>
          <w:sz w:val="26"/>
        </w:rPr>
        <w:t>5.4 Star Schema Results</w:t>
      </w:r>
    </w:p>
    <w:p>
      <w:pPr>
        <w:spacing w:before="0" w:after="120" w:line="276" w:lineRule="auto"/>
        <w:jc w:val="both"/>
      </w:pPr>
      <w:r>
        <w:rPr>
          <w:rFonts w:ascii="Times New Roman" w:hAnsi="Times New Roman"/>
          <w:b w:val="0"/>
          <w:i w:val="0"/>
          <w:color w:val="000000"/>
          <w:sz w:val="24"/>
        </w:rPr>
        <w:t>The Star Schema structure demonstrated exceptional read efficiency. By joining FACT_SALES directly with denormalized dimensions (DIM_PRODUCT, DIM_CUSTOMER, DIM_SUPPLIER, DIM_DATE), all analytical queries executed in under 2 milliseconds on SQLite. The absence of snowflake sub-dimensions minimized query parsing complexity.</w:t>
      </w:r>
    </w:p>
    <w:p>
      <w:pPr>
        <w:keepNext/>
        <w:spacing w:before="280" w:after="160"/>
      </w:pPr>
      <w:r>
        <w:rPr>
          <w:rFonts w:ascii="Times New Roman" w:hAnsi="Times New Roman"/>
          <w:b/>
          <w:color w:val="2C3E50"/>
          <w:sz w:val="26"/>
        </w:rPr>
        <w:t>5.5 Snowflake Schema Results</w:t>
      </w:r>
    </w:p>
    <w:p>
      <w:pPr>
        <w:spacing w:before="0" w:after="120" w:line="276" w:lineRule="auto"/>
        <w:jc w:val="both"/>
      </w:pPr>
      <w:r>
        <w:rPr>
          <w:rFonts w:ascii="Times New Roman" w:hAnsi="Times New Roman"/>
          <w:b w:val="0"/>
          <w:i w:val="0"/>
          <w:color w:val="000000"/>
          <w:sz w:val="24"/>
        </w:rPr>
        <w:t>The Snowflake Schema successfully normalized product categories into DIM_CATEGORY (4 distinct records), eliminating repetitive category strings from DIM_PRODUCT_SF. While this introduces an additional join during category-level rollups, it eliminates data redundancy and enforces referential category integrity across catalog updates.</w:t>
      </w:r>
    </w:p>
    <w:p>
      <w:pPr>
        <w:keepNext/>
        <w:spacing w:before="280" w:after="160"/>
      </w:pPr>
      <w:r>
        <w:rPr>
          <w:rFonts w:ascii="Times New Roman" w:hAnsi="Times New Roman"/>
          <w:b/>
          <w:color w:val="2C3E50"/>
          <w:sz w:val="26"/>
        </w:rPr>
        <w:t>5.6 Classification Results</w:t>
      </w:r>
    </w:p>
    <w:p>
      <w:pPr>
        <w:spacing w:before="0" w:after="120" w:line="276" w:lineRule="auto"/>
        <w:jc w:val="both"/>
      </w:pPr>
      <w:r>
        <w:rPr>
          <w:rFonts w:ascii="Times New Roman" w:hAnsi="Times New Roman"/>
          <w:b w:val="0"/>
          <w:i w:val="0"/>
          <w:color w:val="000000"/>
          <w:sz w:val="24"/>
        </w:rPr>
        <w:t>Supervised classification was evaluated on 41 test instances (30% split of 134 sales). Models predicted whether an order yields High Profit (&gt; ₹500). Table 5.3 summarizes the comparative performance.</w:t>
      </w:r>
    </w:p>
    <w:p>
      <w:pPr>
        <w:spacing w:before="160" w:after="80"/>
      </w:pPr>
      <w:r>
        <w:rPr>
          <w:rFonts w:ascii="Times New Roman" w:hAnsi="Times New Roman"/>
          <w:b/>
          <w:sz w:val="22"/>
        </w:rPr>
        <w:t>Table 5.3: Classification Model Evaluation Metrics (Decision Tree vs. Naive Bayes)</w:t>
      </w:r>
    </w:p>
    <w:tbl>
      <w:tblPr>
        <w:tblW w:type="auto" w:w="0"/>
        <w:jc w:val="center"/>
        <w:tblLook w:firstColumn="1" w:firstRow="1" w:lastColumn="0" w:lastRow="0" w:noHBand="0" w:noVBand="1" w:val="04A0"/>
      </w:tblPr>
      <w:tblGrid>
        <w:gridCol w:w="1457"/>
        <w:gridCol w:w="1457"/>
        <w:gridCol w:w="1457"/>
        <w:gridCol w:w="1457"/>
        <w:gridCol w:w="1457"/>
        <w:gridCol w:w="1457"/>
      </w:tblGrid>
      <w:tr>
        <w:trPr>
          <w:cantSplit/>
          <w:tblHeader/>
        </w:trPr>
        <w:tc>
          <w:tcPr>
            <w:tcW w:type="dxa" w:w="2592"/>
            <w:tcMar>
              <w:top w:w="120" w:type="dxa"/>
              <w:bottom w:w="120" w:type="dxa"/>
              <w:left w:w="150" w:type="dxa"/>
              <w:right w:w="150" w:type="dxa"/>
            </w:tcMar>
            <w:shd w:fill="2C3E50"/>
          </w:tcPr>
          <w:p>
            <w:pPr>
              <w:jc w:val="center"/>
            </w:pPr>
            <w:r>
              <w:t>Algorithm</w:t>
            </w:r>
          </w:p>
        </w:tc>
        <w:tc>
          <w:tcPr>
            <w:tcW w:type="dxa" w:w="1440"/>
            <w:tcMar>
              <w:top w:w="120" w:type="dxa"/>
              <w:bottom w:w="120" w:type="dxa"/>
              <w:left w:w="150" w:type="dxa"/>
              <w:right w:w="150" w:type="dxa"/>
            </w:tcMar>
            <w:shd w:fill="2C3E50"/>
          </w:tcPr>
          <w:p>
            <w:pPr>
              <w:jc w:val="center"/>
            </w:pPr>
            <w:r>
              <w:t>Accuracy</w:t>
            </w:r>
          </w:p>
        </w:tc>
        <w:tc>
          <w:tcPr>
            <w:tcW w:type="dxa" w:w="1440"/>
            <w:tcMar>
              <w:top w:w="120" w:type="dxa"/>
              <w:bottom w:w="120" w:type="dxa"/>
              <w:left w:w="150" w:type="dxa"/>
              <w:right w:w="150" w:type="dxa"/>
            </w:tcMar>
            <w:shd w:fill="2C3E50"/>
          </w:tcPr>
          <w:p>
            <w:pPr>
              <w:jc w:val="center"/>
            </w:pPr>
            <w:r>
              <w:t>Precision</w:t>
            </w:r>
          </w:p>
        </w:tc>
        <w:tc>
          <w:tcPr>
            <w:tcW w:type="dxa" w:w="1440"/>
            <w:tcMar>
              <w:top w:w="120" w:type="dxa"/>
              <w:bottom w:w="120" w:type="dxa"/>
              <w:left w:w="150" w:type="dxa"/>
              <w:right w:w="150" w:type="dxa"/>
            </w:tcMar>
            <w:shd w:fill="2C3E50"/>
          </w:tcPr>
          <w:p>
            <w:pPr>
              <w:jc w:val="center"/>
            </w:pPr>
            <w:r>
              <w:t>Recall</w:t>
            </w:r>
          </w:p>
        </w:tc>
        <w:tc>
          <w:tcPr>
            <w:tcW w:type="dxa" w:w="1440"/>
            <w:tcMar>
              <w:top w:w="120" w:type="dxa"/>
              <w:bottom w:w="120" w:type="dxa"/>
              <w:left w:w="150" w:type="dxa"/>
              <w:right w:w="150" w:type="dxa"/>
            </w:tcMar>
            <w:shd w:fill="2C3E50"/>
          </w:tcPr>
          <w:p>
            <w:pPr>
              <w:jc w:val="center"/>
            </w:pPr>
            <w:r>
              <w:t>F1-Score</w:t>
            </w:r>
          </w:p>
        </w:tc>
        <w:tc>
          <w:tcPr>
            <w:tcW w:type="dxa" w:w="1728"/>
            <w:tcMar>
              <w:top w:w="120" w:type="dxa"/>
              <w:bottom w:w="120" w:type="dxa"/>
              <w:left w:w="150" w:type="dxa"/>
              <w:right w:w="150" w:type="dxa"/>
            </w:tcMar>
            <w:shd w:fill="2C3E50"/>
          </w:tcPr>
          <w:p>
            <w:pPr>
              <w:jc w:val="center"/>
            </w:pPr>
            <w:r>
              <w:t>Confusion Matrix</w:t>
            </w:r>
          </w:p>
        </w:tc>
      </w:tr>
      <w:tr>
        <w:trPr>
          <w:cantSplit/>
        </w:trPr>
        <w:tc>
          <w:tcPr>
            <w:tcW w:type="dxa" w:w="2592"/>
            <w:tcMar>
              <w:top w:w="120" w:type="dxa"/>
              <w:bottom w:w="120" w:type="dxa"/>
              <w:left w:w="150" w:type="dxa"/>
              <w:right w:w="150" w:type="dxa"/>
            </w:tcMar>
            <w:shd w:fill="F8F9FA"/>
          </w:tcPr>
          <w:p>
            <w:pPr>
              <w:jc w:val="center"/>
            </w:pPr>
            <w:r>
              <w:t>Decision Tree Classifier</w:t>
            </w:r>
          </w:p>
        </w:tc>
        <w:tc>
          <w:tcPr>
            <w:tcW w:type="dxa" w:w="1440"/>
            <w:tcMar>
              <w:top w:w="120" w:type="dxa"/>
              <w:bottom w:w="120" w:type="dxa"/>
              <w:left w:w="150" w:type="dxa"/>
              <w:right w:w="150" w:type="dxa"/>
            </w:tcMar>
            <w:shd w:fill="F8F9FA"/>
          </w:tcPr>
          <w:p>
            <w:pPr>
              <w:jc w:val="center"/>
            </w:pPr>
            <w:r>
              <w:t>100.00 %</w:t>
            </w:r>
          </w:p>
        </w:tc>
        <w:tc>
          <w:tcPr>
            <w:tcW w:type="dxa" w:w="1440"/>
            <w:tcMar>
              <w:top w:w="120" w:type="dxa"/>
              <w:bottom w:w="120" w:type="dxa"/>
              <w:left w:w="150" w:type="dxa"/>
              <w:right w:w="150" w:type="dxa"/>
            </w:tcMar>
            <w:shd w:fill="F8F9FA"/>
          </w:tcPr>
          <w:p>
            <w:pPr>
              <w:jc w:val="center"/>
            </w:pPr>
            <w:r>
              <w:t>100.00 %</w:t>
            </w:r>
          </w:p>
        </w:tc>
        <w:tc>
          <w:tcPr>
            <w:tcW w:type="dxa" w:w="1440"/>
            <w:tcMar>
              <w:top w:w="120" w:type="dxa"/>
              <w:bottom w:w="120" w:type="dxa"/>
              <w:left w:w="150" w:type="dxa"/>
              <w:right w:w="150" w:type="dxa"/>
            </w:tcMar>
            <w:shd w:fill="F8F9FA"/>
          </w:tcPr>
          <w:p>
            <w:pPr>
              <w:jc w:val="center"/>
            </w:pPr>
            <w:r>
              <w:t>100.00 %</w:t>
            </w:r>
          </w:p>
        </w:tc>
        <w:tc>
          <w:tcPr>
            <w:tcW w:type="dxa" w:w="1440"/>
            <w:tcMar>
              <w:top w:w="120" w:type="dxa"/>
              <w:bottom w:w="120" w:type="dxa"/>
              <w:left w:w="150" w:type="dxa"/>
              <w:right w:w="150" w:type="dxa"/>
            </w:tcMar>
            <w:shd w:fill="F8F9FA"/>
          </w:tcPr>
          <w:p>
            <w:pPr>
              <w:jc w:val="center"/>
            </w:pPr>
            <w:r>
              <w:t>100.00 %</w:t>
            </w:r>
          </w:p>
        </w:tc>
        <w:tc>
          <w:tcPr>
            <w:tcW w:type="dxa" w:w="1728"/>
            <w:tcMar>
              <w:top w:w="120" w:type="dxa"/>
              <w:bottom w:w="120" w:type="dxa"/>
              <w:left w:w="150" w:type="dxa"/>
              <w:right w:w="150" w:type="dxa"/>
            </w:tcMar>
            <w:shd w:fill="F8F9FA"/>
          </w:tcPr>
          <w:p>
            <w:pPr>
              <w:jc w:val="center"/>
            </w:pPr>
            <w:r>
              <w:t>TN: 16, FP: 0</w:t>
              <w:br/>
              <w:t>FN: 0, TP: 25</w:t>
            </w:r>
          </w:p>
        </w:tc>
      </w:tr>
      <w:tr>
        <w:trPr>
          <w:cantSplit/>
        </w:trPr>
        <w:tc>
          <w:tcPr>
            <w:tcW w:type="dxa" w:w="2592"/>
            <w:tcMar>
              <w:top w:w="120" w:type="dxa"/>
              <w:bottom w:w="120" w:type="dxa"/>
              <w:left w:w="150" w:type="dxa"/>
              <w:right w:w="150" w:type="dxa"/>
            </w:tcMar>
            <w:shd w:fill="FFFFFF"/>
          </w:tcPr>
          <w:p>
            <w:pPr>
              <w:jc w:val="center"/>
            </w:pPr>
            <w:r>
              <w:t>Gaussian Naive Bayes</w:t>
            </w:r>
          </w:p>
        </w:tc>
        <w:tc>
          <w:tcPr>
            <w:tcW w:type="dxa" w:w="1440"/>
            <w:tcMar>
              <w:top w:w="120" w:type="dxa"/>
              <w:bottom w:w="120" w:type="dxa"/>
              <w:left w:w="150" w:type="dxa"/>
              <w:right w:w="150" w:type="dxa"/>
            </w:tcMar>
            <w:shd w:fill="FFFFFF"/>
          </w:tcPr>
          <w:p>
            <w:pPr>
              <w:jc w:val="center"/>
            </w:pPr>
            <w:r>
              <w:t>82.93 %</w:t>
            </w:r>
          </w:p>
        </w:tc>
        <w:tc>
          <w:tcPr>
            <w:tcW w:type="dxa" w:w="1440"/>
            <w:tcMar>
              <w:top w:w="120" w:type="dxa"/>
              <w:bottom w:w="120" w:type="dxa"/>
              <w:left w:w="150" w:type="dxa"/>
              <w:right w:w="150" w:type="dxa"/>
            </w:tcMar>
            <w:shd w:fill="FFFFFF"/>
          </w:tcPr>
          <w:p>
            <w:pPr>
              <w:jc w:val="center"/>
            </w:pPr>
            <w:r>
              <w:t>87.50 %</w:t>
            </w:r>
          </w:p>
        </w:tc>
        <w:tc>
          <w:tcPr>
            <w:tcW w:type="dxa" w:w="1440"/>
            <w:tcMar>
              <w:top w:w="120" w:type="dxa"/>
              <w:bottom w:w="120" w:type="dxa"/>
              <w:left w:w="150" w:type="dxa"/>
              <w:right w:w="150" w:type="dxa"/>
            </w:tcMar>
            <w:shd w:fill="FFFFFF"/>
          </w:tcPr>
          <w:p>
            <w:pPr>
              <w:jc w:val="center"/>
            </w:pPr>
            <w:r>
              <w:t>84.00 %</w:t>
            </w:r>
          </w:p>
        </w:tc>
        <w:tc>
          <w:tcPr>
            <w:tcW w:type="dxa" w:w="1440"/>
            <w:tcMar>
              <w:top w:w="120" w:type="dxa"/>
              <w:bottom w:w="120" w:type="dxa"/>
              <w:left w:w="150" w:type="dxa"/>
              <w:right w:w="150" w:type="dxa"/>
            </w:tcMar>
            <w:shd w:fill="FFFFFF"/>
          </w:tcPr>
          <w:p>
            <w:pPr>
              <w:jc w:val="center"/>
            </w:pPr>
            <w:r>
              <w:t>85.71 %</w:t>
            </w:r>
          </w:p>
        </w:tc>
        <w:tc>
          <w:tcPr>
            <w:tcW w:type="dxa" w:w="1728"/>
            <w:tcMar>
              <w:top w:w="120" w:type="dxa"/>
              <w:bottom w:w="120" w:type="dxa"/>
              <w:left w:w="150" w:type="dxa"/>
              <w:right w:w="150" w:type="dxa"/>
            </w:tcMar>
            <w:shd w:fill="FFFFFF"/>
          </w:tcPr>
          <w:p>
            <w:pPr>
              <w:jc w:val="center"/>
            </w:pPr>
            <w:r>
              <w:t>TN: 13, FP: 3</w:t>
              <w:br/>
              <w:t>FN: 4, TP: 21</w:t>
            </w:r>
          </w:p>
        </w:tc>
      </w:tr>
    </w:tbl>
    <w:p>
      <w:pPr>
        <w:spacing w:before="0" w:after="120" w:line="276" w:lineRule="auto"/>
        <w:jc w:val="both"/>
      </w:pPr>
      <w:r>
        <w:rPr>
          <w:rFonts w:ascii="Times New Roman" w:hAnsi="Times New Roman"/>
          <w:b w:val="0"/>
          <w:i w:val="0"/>
          <w:color w:val="000000"/>
          <w:sz w:val="24"/>
        </w:rPr>
        <w:t>Discussion: The Decision Tree achieved 100.0% accuracy because the synthetic pricing rules feature sharp linear decision boundaries based on quantity and wholesale cost. In contrast, Gaussian Naive Bayes recorded 82.93% accuracy due to its assumption of feature independence, resulting in 3 False Positives and 4 False Negatives. This empirical contrast demonstrates why non-parametric tree classifiers are frequently preferred for commercial retail rule extraction.</w:t>
      </w:r>
    </w:p>
    <w:p>
      <w:pPr>
        <w:keepNext/>
        <w:spacing w:before="280" w:after="160"/>
      </w:pPr>
      <w:r>
        <w:rPr>
          <w:rFonts w:ascii="Times New Roman" w:hAnsi="Times New Roman"/>
          <w:b/>
          <w:color w:val="2C3E50"/>
          <w:sz w:val="26"/>
        </w:rPr>
        <w:t>5.7 K-Means Clustering Results</w:t>
      </w:r>
    </w:p>
    <w:p>
      <w:pPr>
        <w:spacing w:before="0" w:after="120" w:line="276" w:lineRule="auto"/>
        <w:jc w:val="both"/>
      </w:pPr>
      <w:r>
        <w:rPr>
          <w:rFonts w:ascii="Times New Roman" w:hAnsi="Times New Roman"/>
          <w:b w:val="0"/>
          <w:i w:val="0"/>
          <w:color w:val="000000"/>
          <w:sz w:val="24"/>
        </w:rPr>
        <w:t>Customer segmentation via K-Means (k=3) partitioned the 50 registered buyers into three distinct economic tiers based on Total Orders and Lifetime Spending. Table 5.4 details the cluster centroids and profiles.</w:t>
      </w:r>
    </w:p>
    <w:p>
      <w:pPr>
        <w:spacing w:before="160" w:after="80"/>
      </w:pPr>
      <w:r>
        <w:rPr>
          <w:rFonts w:ascii="Times New Roman" w:hAnsi="Times New Roman"/>
          <w:b/>
          <w:sz w:val="22"/>
        </w:rPr>
        <w:t>Table 5.4: K-Means Customer Segmentation Summary and Behavioral Profiles</w:t>
      </w:r>
    </w:p>
    <w:tbl>
      <w:tblPr>
        <w:tblW w:type="auto" w:w="0"/>
        <w:jc w:val="center"/>
        <w:tblLook w:firstColumn="1" w:firstRow="1" w:lastColumn="0" w:lastRow="0" w:noHBand="0" w:noVBand="1" w:val="04A0"/>
      </w:tblPr>
      <w:tblGrid>
        <w:gridCol w:w="1748"/>
        <w:gridCol w:w="1748"/>
        <w:gridCol w:w="1748"/>
        <w:gridCol w:w="1748"/>
        <w:gridCol w:w="1748"/>
      </w:tblGrid>
      <w:tr>
        <w:trPr>
          <w:cantSplit/>
          <w:tblHeader/>
        </w:trPr>
        <w:tc>
          <w:tcPr>
            <w:tcW w:type="dxa" w:w="1584"/>
            <w:tcMar>
              <w:top w:w="120" w:type="dxa"/>
              <w:bottom w:w="120" w:type="dxa"/>
              <w:left w:w="150" w:type="dxa"/>
              <w:right w:w="150" w:type="dxa"/>
            </w:tcMar>
            <w:shd w:fill="2C3E50"/>
          </w:tcPr>
          <w:p>
            <w:pPr>
              <w:jc w:val="center"/>
            </w:pPr>
            <w:r>
              <w:t>Cluster</w:t>
            </w:r>
          </w:p>
        </w:tc>
        <w:tc>
          <w:tcPr>
            <w:tcW w:type="dxa" w:w="1872"/>
            <w:tcMar>
              <w:top w:w="120" w:type="dxa"/>
              <w:bottom w:w="120" w:type="dxa"/>
              <w:left w:w="150" w:type="dxa"/>
              <w:right w:w="150" w:type="dxa"/>
            </w:tcMar>
            <w:shd w:fill="2C3E50"/>
          </w:tcPr>
          <w:p>
            <w:pPr>
              <w:jc w:val="center"/>
            </w:pPr>
            <w:r>
              <w:t>Member Count</w:t>
            </w:r>
          </w:p>
        </w:tc>
        <w:tc>
          <w:tcPr>
            <w:tcW w:type="dxa" w:w="1584"/>
            <w:tcMar>
              <w:top w:w="120" w:type="dxa"/>
              <w:bottom w:w="120" w:type="dxa"/>
              <w:left w:w="150" w:type="dxa"/>
              <w:right w:w="150" w:type="dxa"/>
            </w:tcMar>
            <w:shd w:fill="2C3E50"/>
          </w:tcPr>
          <w:p>
            <w:pPr>
              <w:jc w:val="center"/>
            </w:pPr>
            <w:r>
              <w:t>Mean Orders</w:t>
            </w:r>
          </w:p>
        </w:tc>
        <w:tc>
          <w:tcPr>
            <w:tcW w:type="dxa" w:w="1872"/>
            <w:tcMar>
              <w:top w:w="120" w:type="dxa"/>
              <w:bottom w:w="120" w:type="dxa"/>
              <w:left w:w="150" w:type="dxa"/>
              <w:right w:w="150" w:type="dxa"/>
            </w:tcMar>
            <w:shd w:fill="2C3E50"/>
          </w:tcPr>
          <w:p>
            <w:pPr>
              <w:jc w:val="center"/>
            </w:pPr>
            <w:r>
              <w:t>Mean Spend (₹)</w:t>
            </w:r>
          </w:p>
        </w:tc>
        <w:tc>
          <w:tcPr>
            <w:tcW w:type="dxa" w:w="3168"/>
            <w:tcMar>
              <w:top w:w="120" w:type="dxa"/>
              <w:bottom w:w="120" w:type="dxa"/>
              <w:left w:w="150" w:type="dxa"/>
              <w:right w:w="150" w:type="dxa"/>
            </w:tcMar>
            <w:shd w:fill="2C3E50"/>
          </w:tcPr>
          <w:p>
            <w:pPr>
              <w:jc w:val="center"/>
            </w:pPr>
            <w:r>
              <w:t>Marketing Persona &amp; Profile</w:t>
            </w:r>
          </w:p>
        </w:tc>
      </w:tr>
      <w:tr>
        <w:trPr>
          <w:cantSplit/>
        </w:trPr>
        <w:tc>
          <w:tcPr>
            <w:tcW w:type="dxa" w:w="1584"/>
            <w:tcMar>
              <w:top w:w="120" w:type="dxa"/>
              <w:bottom w:w="120" w:type="dxa"/>
              <w:left w:w="150" w:type="dxa"/>
              <w:right w:w="150" w:type="dxa"/>
            </w:tcMar>
            <w:shd w:fill="F8F9FA"/>
          </w:tcPr>
          <w:p>
            <w:pPr>
              <w:jc w:val="center"/>
            </w:pPr>
            <w:r>
              <w:t>Cluster 1</w:t>
            </w:r>
          </w:p>
        </w:tc>
        <w:tc>
          <w:tcPr>
            <w:tcW w:type="dxa" w:w="1872"/>
            <w:tcMar>
              <w:top w:w="120" w:type="dxa"/>
              <w:bottom w:w="120" w:type="dxa"/>
              <w:left w:w="150" w:type="dxa"/>
              <w:right w:w="150" w:type="dxa"/>
            </w:tcMar>
            <w:shd w:fill="F8F9FA"/>
          </w:tcPr>
          <w:p>
            <w:pPr>
              <w:jc w:val="center"/>
            </w:pPr>
            <w:r>
              <w:t>9 Buyers (18%)</w:t>
            </w:r>
          </w:p>
        </w:tc>
        <w:tc>
          <w:tcPr>
            <w:tcW w:type="dxa" w:w="1584"/>
            <w:tcMar>
              <w:top w:w="120" w:type="dxa"/>
              <w:bottom w:w="120" w:type="dxa"/>
              <w:left w:w="150" w:type="dxa"/>
              <w:right w:w="150" w:type="dxa"/>
            </w:tcMar>
            <w:shd w:fill="F8F9FA"/>
          </w:tcPr>
          <w:p>
            <w:pPr>
              <w:jc w:val="center"/>
            </w:pPr>
            <w:r>
              <w:t>4.6 Orders</w:t>
            </w:r>
          </w:p>
        </w:tc>
        <w:tc>
          <w:tcPr>
            <w:tcW w:type="dxa" w:w="1872"/>
            <w:tcMar>
              <w:top w:w="120" w:type="dxa"/>
              <w:bottom w:w="120" w:type="dxa"/>
              <w:left w:w="150" w:type="dxa"/>
              <w:right w:w="150" w:type="dxa"/>
            </w:tcMar>
            <w:shd w:fill="F8F9FA"/>
          </w:tcPr>
          <w:p>
            <w:pPr>
              <w:jc w:val="right"/>
            </w:pPr>
            <w:r>
              <w:t>₹ 19,885.89</w:t>
            </w:r>
          </w:p>
        </w:tc>
        <w:tc>
          <w:tcPr>
            <w:tcW w:type="dxa" w:w="3168"/>
            <w:tcMar>
              <w:top w:w="120" w:type="dxa"/>
              <w:bottom w:w="120" w:type="dxa"/>
              <w:left w:w="150" w:type="dxa"/>
              <w:right w:w="150" w:type="dxa"/>
            </w:tcMar>
            <w:shd w:fill="F8F9FA"/>
          </w:tcPr>
          <w:p>
            <w:pPr>
              <w:jc w:val="both"/>
            </w:pPr>
            <w:r>
              <w:t>High-Value VIP Buyers: High purchase frequency and premium basket value. Primary contributors to platform gross margin.</w:t>
            </w:r>
          </w:p>
        </w:tc>
      </w:tr>
      <w:tr>
        <w:trPr>
          <w:cantSplit/>
        </w:trPr>
        <w:tc>
          <w:tcPr>
            <w:tcW w:type="dxa" w:w="1584"/>
            <w:tcMar>
              <w:top w:w="120" w:type="dxa"/>
              <w:bottom w:w="120" w:type="dxa"/>
              <w:left w:w="150" w:type="dxa"/>
              <w:right w:w="150" w:type="dxa"/>
            </w:tcMar>
            <w:shd w:fill="FFFFFF"/>
          </w:tcPr>
          <w:p>
            <w:pPr>
              <w:jc w:val="center"/>
            </w:pPr>
            <w:r>
              <w:t>Cluster 2</w:t>
            </w:r>
          </w:p>
        </w:tc>
        <w:tc>
          <w:tcPr>
            <w:tcW w:type="dxa" w:w="1872"/>
            <w:tcMar>
              <w:top w:w="120" w:type="dxa"/>
              <w:bottom w:w="120" w:type="dxa"/>
              <w:left w:w="150" w:type="dxa"/>
              <w:right w:w="150" w:type="dxa"/>
            </w:tcMar>
            <w:shd w:fill="FFFFFF"/>
          </w:tcPr>
          <w:p>
            <w:pPr>
              <w:jc w:val="center"/>
            </w:pPr>
            <w:r>
              <w:t>19 Buyers (38%)</w:t>
            </w:r>
          </w:p>
        </w:tc>
        <w:tc>
          <w:tcPr>
            <w:tcW w:type="dxa" w:w="1584"/>
            <w:tcMar>
              <w:top w:w="120" w:type="dxa"/>
              <w:bottom w:w="120" w:type="dxa"/>
              <w:left w:w="150" w:type="dxa"/>
              <w:right w:w="150" w:type="dxa"/>
            </w:tcMar>
            <w:shd w:fill="FFFFFF"/>
          </w:tcPr>
          <w:p>
            <w:pPr>
              <w:jc w:val="center"/>
            </w:pPr>
            <w:r>
              <w:t>1.4 Orders</w:t>
            </w:r>
          </w:p>
        </w:tc>
        <w:tc>
          <w:tcPr>
            <w:tcW w:type="dxa" w:w="1872"/>
            <w:tcMar>
              <w:top w:w="120" w:type="dxa"/>
              <w:bottom w:w="120" w:type="dxa"/>
              <w:left w:w="150" w:type="dxa"/>
              <w:right w:w="150" w:type="dxa"/>
            </w:tcMar>
            <w:shd w:fill="FFFFFF"/>
          </w:tcPr>
          <w:p>
            <w:pPr>
              <w:jc w:val="right"/>
            </w:pPr>
            <w:r>
              <w:t>₹ 3,420.26</w:t>
            </w:r>
          </w:p>
        </w:tc>
        <w:tc>
          <w:tcPr>
            <w:tcW w:type="dxa" w:w="3168"/>
            <w:tcMar>
              <w:top w:w="120" w:type="dxa"/>
              <w:bottom w:w="120" w:type="dxa"/>
              <w:left w:w="150" w:type="dxa"/>
              <w:right w:w="150" w:type="dxa"/>
            </w:tcMar>
            <w:shd w:fill="FFFFFF"/>
          </w:tcPr>
          <w:p>
            <w:pPr>
              <w:jc w:val="both"/>
            </w:pPr>
            <w:r>
              <w:t>Casual / One-Time Buyers: Infrequent purchases of entry-level accessories. Target for re-engagement email promotions.</w:t>
            </w:r>
          </w:p>
        </w:tc>
      </w:tr>
      <w:tr>
        <w:trPr>
          <w:cantSplit/>
        </w:trPr>
        <w:tc>
          <w:tcPr>
            <w:tcW w:type="dxa" w:w="1584"/>
            <w:tcMar>
              <w:top w:w="120" w:type="dxa"/>
              <w:bottom w:w="120" w:type="dxa"/>
              <w:left w:w="150" w:type="dxa"/>
              <w:right w:w="150" w:type="dxa"/>
            </w:tcMar>
            <w:shd w:fill="F8F9FA"/>
          </w:tcPr>
          <w:p>
            <w:pPr>
              <w:jc w:val="center"/>
            </w:pPr>
            <w:r>
              <w:t>Cluster 3</w:t>
            </w:r>
          </w:p>
        </w:tc>
        <w:tc>
          <w:tcPr>
            <w:tcW w:type="dxa" w:w="1872"/>
            <w:tcMar>
              <w:top w:w="120" w:type="dxa"/>
              <w:bottom w:w="120" w:type="dxa"/>
              <w:left w:w="150" w:type="dxa"/>
              <w:right w:w="150" w:type="dxa"/>
            </w:tcMar>
            <w:shd w:fill="F8F9FA"/>
          </w:tcPr>
          <w:p>
            <w:pPr>
              <w:jc w:val="center"/>
            </w:pPr>
            <w:r>
              <w:t>18 Buyers (36%)</w:t>
            </w:r>
          </w:p>
        </w:tc>
        <w:tc>
          <w:tcPr>
            <w:tcW w:type="dxa" w:w="1584"/>
            <w:tcMar>
              <w:top w:w="120" w:type="dxa"/>
              <w:bottom w:w="120" w:type="dxa"/>
              <w:left w:w="150" w:type="dxa"/>
              <w:right w:w="150" w:type="dxa"/>
            </w:tcMar>
            <w:shd w:fill="F8F9FA"/>
          </w:tcPr>
          <w:p>
            <w:pPr>
              <w:jc w:val="center"/>
            </w:pPr>
            <w:r>
              <w:t>3.7 Orders</w:t>
            </w:r>
          </w:p>
        </w:tc>
        <w:tc>
          <w:tcPr>
            <w:tcW w:type="dxa" w:w="1872"/>
            <w:tcMar>
              <w:top w:w="120" w:type="dxa"/>
              <w:bottom w:w="120" w:type="dxa"/>
              <w:left w:w="150" w:type="dxa"/>
              <w:right w:w="150" w:type="dxa"/>
            </w:tcMar>
            <w:shd w:fill="F8F9FA"/>
          </w:tcPr>
          <w:p>
            <w:pPr>
              <w:jc w:val="right"/>
            </w:pPr>
            <w:r>
              <w:t>₹ 8,043.28</w:t>
            </w:r>
          </w:p>
        </w:tc>
        <w:tc>
          <w:tcPr>
            <w:tcW w:type="dxa" w:w="3168"/>
            <w:tcMar>
              <w:top w:w="120" w:type="dxa"/>
              <w:bottom w:w="120" w:type="dxa"/>
              <w:left w:w="150" w:type="dxa"/>
              <w:right w:w="150" w:type="dxa"/>
            </w:tcMar>
            <w:shd w:fill="F8F9FA"/>
          </w:tcPr>
          <w:p>
            <w:pPr>
              <w:jc w:val="both"/>
            </w:pPr>
            <w:r>
              <w:t>Regular Consistent Buyers: Steady repeat buyers purchasing mid-range electronics and travel accessories.</w:t>
            </w:r>
          </w:p>
        </w:tc>
      </w:tr>
    </w:tbl>
    <w:p>
      <w:pPr>
        <w:spacing w:before="160" w:after="80"/>
        <w:jc w:val="center"/>
      </w:pPr>
      <w:r>
        <w:drawing>
          <wp:inline xmlns:a="http://schemas.openxmlformats.org/drawingml/2006/main" xmlns:pic="http://schemas.openxmlformats.org/drawingml/2006/picture">
            <wp:extent cx="5029200" cy="3457575"/>
            <wp:docPr id="18" name="Picture 18"/>
            <wp:cNvGraphicFramePr>
              <a:graphicFrameLocks noChangeAspect="1"/>
            </wp:cNvGraphicFramePr>
            <a:graphic>
              <a:graphicData uri="http://schemas.openxmlformats.org/drawingml/2006/picture">
                <pic:pic>
                  <pic:nvPicPr>
                    <pic:cNvPr id="0" name="fig_cluster_scatter.png"/>
                    <pic:cNvPicPr/>
                  </pic:nvPicPr>
                  <pic:blipFill>
                    <a:blip r:embed="rId26"/>
                    <a:stretch>
                      <a:fillRect/>
                    </a:stretch>
                  </pic:blipFill>
                  <pic:spPr>
                    <a:xfrm>
                      <a:off x="0" y="0"/>
                      <a:ext cx="5029200" cy="3457575"/>
                    </a:xfrm>
                    <a:prstGeom prst="rect"/>
                  </pic:spPr>
                </pic:pic>
              </a:graphicData>
            </a:graphic>
          </wp:inline>
        </w:drawing>
      </w:r>
    </w:p>
    <w:p>
      <w:pPr>
        <w:keepNext/>
        <w:spacing w:before="40" w:after="200"/>
        <w:jc w:val="center"/>
      </w:pPr>
      <w:r>
        <w:rPr>
          <w:rFonts w:ascii="Times New Roman" w:hAnsi="Times New Roman"/>
          <w:b/>
          <w:color w:val="282828"/>
          <w:sz w:val="22"/>
        </w:rPr>
        <w:t>Figure 5.6: K-Means Customer Clustering Scatter Plot (k=3)</w:t>
      </w:r>
    </w:p>
    <w:p>
      <w:pPr>
        <w:keepNext/>
        <w:spacing w:before="280" w:after="160"/>
      </w:pPr>
      <w:r>
        <w:rPr>
          <w:rFonts w:ascii="Times New Roman" w:hAnsi="Times New Roman"/>
          <w:b/>
          <w:color w:val="2C3E50"/>
          <w:sz w:val="26"/>
        </w:rPr>
        <w:t>5.8 Apriori Association Results</w:t>
      </w:r>
    </w:p>
    <w:p>
      <w:pPr>
        <w:spacing w:before="0" w:after="120" w:line="276" w:lineRule="auto"/>
        <w:jc w:val="both"/>
      </w:pPr>
      <w:r>
        <w:rPr>
          <w:rFonts w:ascii="Times New Roman" w:hAnsi="Times New Roman"/>
          <w:b w:val="0"/>
          <w:i w:val="0"/>
          <w:color w:val="000000"/>
          <w:sz w:val="24"/>
        </w:rPr>
        <w:t>Market Basket Analysis using the Apriori algorithm extracted frequent co-purchase itemsets with minimum support threshold = 0.05. Table 5.5 lists the top association rules discovered.</w:t>
      </w:r>
    </w:p>
    <w:p>
      <w:pPr>
        <w:spacing w:before="160" w:after="80"/>
      </w:pPr>
      <w:r>
        <w:rPr>
          <w:rFonts w:ascii="Times New Roman" w:hAnsi="Times New Roman"/>
          <w:b/>
          <w:sz w:val="22"/>
        </w:rPr>
        <w:t>Table 5.5: Apriori Association Rules Discovered from Customer Transactions</w:t>
      </w:r>
    </w:p>
    <w:tbl>
      <w:tblPr>
        <w:tblW w:type="auto" w:w="0"/>
        <w:jc w:val="center"/>
        <w:tblLook w:firstColumn="1" w:firstRow="1" w:lastColumn="0" w:lastRow="0" w:noHBand="0" w:noVBand="1" w:val="04A0"/>
      </w:tblPr>
      <w:tblGrid>
        <w:gridCol w:w="1457"/>
        <w:gridCol w:w="1457"/>
        <w:gridCol w:w="1457"/>
        <w:gridCol w:w="1457"/>
        <w:gridCol w:w="1457"/>
        <w:gridCol w:w="1457"/>
      </w:tblGrid>
      <w:tr>
        <w:trPr>
          <w:cantSplit/>
          <w:tblHeader/>
        </w:trPr>
        <w:tc>
          <w:tcPr>
            <w:tcW w:type="dxa" w:w="2880"/>
            <w:tcMar>
              <w:top w:w="120" w:type="dxa"/>
              <w:bottom w:w="120" w:type="dxa"/>
              <w:left w:w="150" w:type="dxa"/>
              <w:right w:w="150" w:type="dxa"/>
            </w:tcMar>
            <w:shd w:fill="2C3E50"/>
          </w:tcPr>
          <w:p>
            <w:pPr>
              <w:jc w:val="center"/>
            </w:pPr>
            <w:r>
              <w:t>Antecedent (IF)</w:t>
            </w:r>
          </w:p>
        </w:tc>
        <w:tc>
          <w:tcPr>
            <w:tcW w:type="dxa" w:w="1728"/>
            <w:tcMar>
              <w:top w:w="120" w:type="dxa"/>
              <w:bottom w:w="120" w:type="dxa"/>
              <w:left w:w="150" w:type="dxa"/>
              <w:right w:w="150" w:type="dxa"/>
            </w:tcMar>
            <w:shd w:fill="2C3E50"/>
          </w:tcPr>
          <w:p>
            <w:pPr>
              <w:jc w:val="center"/>
            </w:pPr>
            <w:r>
              <w:t>Consequent (THEN)</w:t>
            </w:r>
          </w:p>
        </w:tc>
        <w:tc>
          <w:tcPr>
            <w:tcW w:type="dxa" w:w="1296"/>
            <w:tcMar>
              <w:top w:w="120" w:type="dxa"/>
              <w:bottom w:w="120" w:type="dxa"/>
              <w:left w:w="150" w:type="dxa"/>
              <w:right w:w="150" w:type="dxa"/>
            </w:tcMar>
            <w:shd w:fill="2C3E50"/>
          </w:tcPr>
          <w:p>
            <w:pPr>
              <w:jc w:val="center"/>
            </w:pPr>
            <w:r>
              <w:t>Support</w:t>
            </w:r>
          </w:p>
        </w:tc>
        <w:tc>
          <w:tcPr>
            <w:tcW w:type="dxa" w:w="1440"/>
            <w:tcMar>
              <w:top w:w="120" w:type="dxa"/>
              <w:bottom w:w="120" w:type="dxa"/>
              <w:left w:w="150" w:type="dxa"/>
              <w:right w:w="150" w:type="dxa"/>
            </w:tcMar>
            <w:shd w:fill="2C3E50"/>
          </w:tcPr>
          <w:p>
            <w:pPr>
              <w:jc w:val="center"/>
            </w:pPr>
            <w:r>
              <w:t>Confidence</w:t>
            </w:r>
          </w:p>
        </w:tc>
        <w:tc>
          <w:tcPr>
            <w:tcW w:type="dxa" w:w="1008"/>
            <w:tcMar>
              <w:top w:w="120" w:type="dxa"/>
              <w:bottom w:w="120" w:type="dxa"/>
              <w:left w:w="150" w:type="dxa"/>
              <w:right w:w="150" w:type="dxa"/>
            </w:tcMar>
            <w:shd w:fill="2C3E50"/>
          </w:tcPr>
          <w:p>
            <w:pPr>
              <w:jc w:val="center"/>
            </w:pPr>
            <w:r>
              <w:t>Lift</w:t>
            </w:r>
          </w:p>
        </w:tc>
        <w:tc>
          <w:tcPr>
            <w:tcW w:type="dxa" w:w="1728"/>
            <w:tcMar>
              <w:top w:w="120" w:type="dxa"/>
              <w:bottom w:w="120" w:type="dxa"/>
              <w:left w:w="150" w:type="dxa"/>
              <w:right w:w="150" w:type="dxa"/>
            </w:tcMar>
            <w:shd w:fill="2C3E50"/>
          </w:tcPr>
          <w:p>
            <w:pPr>
              <w:jc w:val="center"/>
            </w:pPr>
            <w:r>
              <w:t>Merchandising Rationale</w:t>
            </w:r>
          </w:p>
        </w:tc>
      </w:tr>
      <w:tr>
        <w:trPr>
          <w:cantSplit/>
        </w:trPr>
        <w:tc>
          <w:tcPr>
            <w:tcW w:type="dxa" w:w="2880"/>
            <w:tcMar>
              <w:top w:w="120" w:type="dxa"/>
              <w:bottom w:w="120" w:type="dxa"/>
              <w:left w:w="150" w:type="dxa"/>
              <w:right w:w="150" w:type="dxa"/>
            </w:tcMar>
            <w:shd w:fill="F8F9FA"/>
          </w:tcPr>
          <w:p>
            <w:pPr>
              <w:jc w:val="left"/>
            </w:pPr>
            <w:r>
              <w:t>Bluetooth Earbuds, Power Bank</w:t>
            </w:r>
          </w:p>
        </w:tc>
        <w:tc>
          <w:tcPr>
            <w:tcW w:type="dxa" w:w="1728"/>
            <w:tcMar>
              <w:top w:w="120" w:type="dxa"/>
              <w:bottom w:w="120" w:type="dxa"/>
              <w:left w:w="150" w:type="dxa"/>
              <w:right w:w="150" w:type="dxa"/>
            </w:tcMar>
            <w:shd w:fill="F8F9FA"/>
          </w:tcPr>
          <w:p>
            <w:pPr>
              <w:jc w:val="center"/>
            </w:pPr>
            <w:r>
              <w:t>Smart Watch</w:t>
            </w:r>
          </w:p>
        </w:tc>
        <w:tc>
          <w:tcPr>
            <w:tcW w:type="dxa" w:w="1296"/>
            <w:tcMar>
              <w:top w:w="120" w:type="dxa"/>
              <w:bottom w:w="120" w:type="dxa"/>
              <w:left w:w="150" w:type="dxa"/>
              <w:right w:w="150" w:type="dxa"/>
            </w:tcMar>
            <w:shd w:fill="F8F9FA"/>
          </w:tcPr>
          <w:p>
            <w:pPr>
              <w:jc w:val="center"/>
            </w:pPr>
            <w:r>
              <w:t>0.065 (6.5%)</w:t>
            </w:r>
          </w:p>
        </w:tc>
        <w:tc>
          <w:tcPr>
            <w:tcW w:type="dxa" w:w="1440"/>
            <w:tcMar>
              <w:top w:w="120" w:type="dxa"/>
              <w:bottom w:w="120" w:type="dxa"/>
              <w:left w:w="150" w:type="dxa"/>
              <w:right w:w="150" w:type="dxa"/>
            </w:tcMar>
            <w:shd w:fill="F8F9FA"/>
          </w:tcPr>
          <w:p>
            <w:pPr>
              <w:jc w:val="center"/>
            </w:pPr>
            <w:r>
              <w:t>1.000 (100.0%)</w:t>
            </w:r>
          </w:p>
        </w:tc>
        <w:tc>
          <w:tcPr>
            <w:tcW w:type="dxa" w:w="1008"/>
            <w:tcMar>
              <w:top w:w="120" w:type="dxa"/>
              <w:bottom w:w="120" w:type="dxa"/>
              <w:left w:w="150" w:type="dxa"/>
              <w:right w:w="150" w:type="dxa"/>
            </w:tcMar>
            <w:shd w:fill="F8F9FA"/>
          </w:tcPr>
          <w:p>
            <w:pPr>
              <w:jc w:val="center"/>
            </w:pPr>
            <w:r>
              <w:t>3.29</w:t>
            </w:r>
          </w:p>
        </w:tc>
        <w:tc>
          <w:tcPr>
            <w:tcW w:type="dxa" w:w="1728"/>
            <w:tcMar>
              <w:top w:w="120" w:type="dxa"/>
              <w:bottom w:w="120" w:type="dxa"/>
              <w:left w:w="150" w:type="dxa"/>
              <w:right w:w="150" w:type="dxa"/>
            </w:tcMar>
            <w:shd w:fill="F8F9FA"/>
          </w:tcPr>
          <w:p>
            <w:pPr>
              <w:jc w:val="both"/>
            </w:pPr>
            <w:r>
              <w:t>Strong complement: Mobile electronics bundle.</w:t>
            </w:r>
          </w:p>
        </w:tc>
      </w:tr>
      <w:tr>
        <w:trPr>
          <w:cantSplit/>
        </w:trPr>
        <w:tc>
          <w:tcPr>
            <w:tcW w:type="dxa" w:w="2880"/>
            <w:tcMar>
              <w:top w:w="120" w:type="dxa"/>
              <w:bottom w:w="120" w:type="dxa"/>
              <w:left w:w="150" w:type="dxa"/>
              <w:right w:w="150" w:type="dxa"/>
            </w:tcMar>
            <w:shd w:fill="FFFFFF"/>
          </w:tcPr>
          <w:p>
            <w:pPr>
              <w:jc w:val="left"/>
            </w:pPr>
            <w:r>
              <w:t>Power Bank, Fitness Band</w:t>
            </w:r>
          </w:p>
        </w:tc>
        <w:tc>
          <w:tcPr>
            <w:tcW w:type="dxa" w:w="1728"/>
            <w:tcMar>
              <w:top w:w="120" w:type="dxa"/>
              <w:bottom w:w="120" w:type="dxa"/>
              <w:left w:w="150" w:type="dxa"/>
              <w:right w:w="150" w:type="dxa"/>
            </w:tcMar>
            <w:shd w:fill="FFFFFF"/>
          </w:tcPr>
          <w:p>
            <w:pPr>
              <w:jc w:val="center"/>
            </w:pPr>
            <w:r>
              <w:t>Smart Watch</w:t>
            </w:r>
          </w:p>
        </w:tc>
        <w:tc>
          <w:tcPr>
            <w:tcW w:type="dxa" w:w="1296"/>
            <w:tcMar>
              <w:top w:w="120" w:type="dxa"/>
              <w:bottom w:w="120" w:type="dxa"/>
              <w:left w:w="150" w:type="dxa"/>
              <w:right w:w="150" w:type="dxa"/>
            </w:tcMar>
            <w:shd w:fill="FFFFFF"/>
          </w:tcPr>
          <w:p>
            <w:pPr>
              <w:jc w:val="center"/>
            </w:pPr>
            <w:r>
              <w:t>0.065 (6.5%)</w:t>
            </w:r>
          </w:p>
        </w:tc>
        <w:tc>
          <w:tcPr>
            <w:tcW w:type="dxa" w:w="1440"/>
            <w:tcMar>
              <w:top w:w="120" w:type="dxa"/>
              <w:bottom w:w="120" w:type="dxa"/>
              <w:left w:w="150" w:type="dxa"/>
              <w:right w:w="150" w:type="dxa"/>
            </w:tcMar>
            <w:shd w:fill="FFFFFF"/>
          </w:tcPr>
          <w:p>
            <w:pPr>
              <w:jc w:val="center"/>
            </w:pPr>
            <w:r>
              <w:t>1.000 (100.0%)</w:t>
            </w:r>
          </w:p>
        </w:tc>
        <w:tc>
          <w:tcPr>
            <w:tcW w:type="dxa" w:w="1008"/>
            <w:tcMar>
              <w:top w:w="120" w:type="dxa"/>
              <w:bottom w:w="120" w:type="dxa"/>
              <w:left w:w="150" w:type="dxa"/>
              <w:right w:w="150" w:type="dxa"/>
            </w:tcMar>
            <w:shd w:fill="FFFFFF"/>
          </w:tcPr>
          <w:p>
            <w:pPr>
              <w:jc w:val="center"/>
            </w:pPr>
            <w:r>
              <w:t>3.29</w:t>
            </w:r>
          </w:p>
        </w:tc>
        <w:tc>
          <w:tcPr>
            <w:tcW w:type="dxa" w:w="1728"/>
            <w:tcMar>
              <w:top w:w="120" w:type="dxa"/>
              <w:bottom w:w="120" w:type="dxa"/>
              <w:left w:w="150" w:type="dxa"/>
              <w:right w:w="150" w:type="dxa"/>
            </w:tcMar>
            <w:shd w:fill="FFFFFF"/>
          </w:tcPr>
          <w:p>
            <w:pPr>
              <w:jc w:val="both"/>
            </w:pPr>
            <w:r>
              <w:t>Fitness ecosystem: Wearable cross-selling.</w:t>
            </w:r>
          </w:p>
        </w:tc>
      </w:tr>
      <w:tr>
        <w:trPr>
          <w:cantSplit/>
        </w:trPr>
        <w:tc>
          <w:tcPr>
            <w:tcW w:type="dxa" w:w="2880"/>
            <w:tcMar>
              <w:top w:w="120" w:type="dxa"/>
              <w:bottom w:w="120" w:type="dxa"/>
              <w:left w:w="150" w:type="dxa"/>
              <w:right w:w="150" w:type="dxa"/>
            </w:tcMar>
            <w:shd w:fill="F8F9FA"/>
          </w:tcPr>
          <w:p>
            <w:pPr>
              <w:jc w:val="left"/>
            </w:pPr>
            <w:r>
              <w:t>Power Bank, Laptop Stand</w:t>
            </w:r>
          </w:p>
        </w:tc>
        <w:tc>
          <w:tcPr>
            <w:tcW w:type="dxa" w:w="1728"/>
            <w:tcMar>
              <w:top w:w="120" w:type="dxa"/>
              <w:bottom w:w="120" w:type="dxa"/>
              <w:left w:w="150" w:type="dxa"/>
              <w:right w:w="150" w:type="dxa"/>
            </w:tcMar>
            <w:shd w:fill="F8F9FA"/>
          </w:tcPr>
          <w:p>
            <w:pPr>
              <w:jc w:val="center"/>
            </w:pPr>
            <w:r>
              <w:t>Phone Stand</w:t>
            </w:r>
          </w:p>
        </w:tc>
        <w:tc>
          <w:tcPr>
            <w:tcW w:type="dxa" w:w="1296"/>
            <w:tcMar>
              <w:top w:w="120" w:type="dxa"/>
              <w:bottom w:w="120" w:type="dxa"/>
              <w:left w:w="150" w:type="dxa"/>
              <w:right w:w="150" w:type="dxa"/>
            </w:tcMar>
            <w:shd w:fill="F8F9FA"/>
          </w:tcPr>
          <w:p>
            <w:pPr>
              <w:jc w:val="center"/>
            </w:pPr>
            <w:r>
              <w:t>0.065 (6.5%)</w:t>
            </w:r>
          </w:p>
        </w:tc>
        <w:tc>
          <w:tcPr>
            <w:tcW w:type="dxa" w:w="1440"/>
            <w:tcMar>
              <w:top w:w="120" w:type="dxa"/>
              <w:bottom w:w="120" w:type="dxa"/>
              <w:left w:w="150" w:type="dxa"/>
              <w:right w:w="150" w:type="dxa"/>
            </w:tcMar>
            <w:shd w:fill="F8F9FA"/>
          </w:tcPr>
          <w:p>
            <w:pPr>
              <w:jc w:val="center"/>
            </w:pPr>
            <w:r>
              <w:t>1.000 (100.0%)</w:t>
            </w:r>
          </w:p>
        </w:tc>
        <w:tc>
          <w:tcPr>
            <w:tcW w:type="dxa" w:w="1008"/>
            <w:tcMar>
              <w:top w:w="120" w:type="dxa"/>
              <w:bottom w:w="120" w:type="dxa"/>
              <w:left w:w="150" w:type="dxa"/>
              <w:right w:w="150" w:type="dxa"/>
            </w:tcMar>
            <w:shd w:fill="F8F9FA"/>
          </w:tcPr>
          <w:p>
            <w:pPr>
              <w:jc w:val="center"/>
            </w:pPr>
            <w:r>
              <w:t>3.54</w:t>
            </w:r>
          </w:p>
        </w:tc>
        <w:tc>
          <w:tcPr>
            <w:tcW w:type="dxa" w:w="1728"/>
            <w:tcMar>
              <w:top w:w="120" w:type="dxa"/>
              <w:bottom w:w="120" w:type="dxa"/>
              <w:left w:w="150" w:type="dxa"/>
              <w:right w:w="150" w:type="dxa"/>
            </w:tcMar>
            <w:shd w:fill="F8F9FA"/>
          </w:tcPr>
          <w:p>
            <w:pPr>
              <w:jc w:val="both"/>
            </w:pPr>
            <w:r>
              <w:t>Desk setup synergy: Workstation accessory bundling.</w:t>
            </w:r>
          </w:p>
        </w:tc>
      </w:tr>
      <w:tr>
        <w:trPr>
          <w:cantSplit/>
        </w:trPr>
        <w:tc>
          <w:tcPr>
            <w:tcW w:type="dxa" w:w="2880"/>
            <w:tcMar>
              <w:top w:w="120" w:type="dxa"/>
              <w:bottom w:w="120" w:type="dxa"/>
              <w:left w:w="150" w:type="dxa"/>
              <w:right w:w="150" w:type="dxa"/>
            </w:tcMar>
            <w:shd w:fill="FFFFFF"/>
          </w:tcPr>
          <w:p>
            <w:pPr>
              <w:jc w:val="left"/>
            </w:pPr>
            <w:r>
              <w:t>Wireless Mouse, Laptop Stand</w:t>
            </w:r>
          </w:p>
        </w:tc>
        <w:tc>
          <w:tcPr>
            <w:tcW w:type="dxa" w:w="1728"/>
            <w:tcMar>
              <w:top w:w="120" w:type="dxa"/>
              <w:bottom w:w="120" w:type="dxa"/>
              <w:left w:w="150" w:type="dxa"/>
              <w:right w:w="150" w:type="dxa"/>
            </w:tcMar>
            <w:shd w:fill="FFFFFF"/>
          </w:tcPr>
          <w:p>
            <w:pPr>
              <w:jc w:val="center"/>
            </w:pPr>
            <w:r>
              <w:t>USB Hub</w:t>
            </w:r>
          </w:p>
        </w:tc>
        <w:tc>
          <w:tcPr>
            <w:tcW w:type="dxa" w:w="1296"/>
            <w:tcMar>
              <w:top w:w="120" w:type="dxa"/>
              <w:bottom w:w="120" w:type="dxa"/>
              <w:left w:w="150" w:type="dxa"/>
              <w:right w:w="150" w:type="dxa"/>
            </w:tcMar>
            <w:shd w:fill="FFFFFF"/>
          </w:tcPr>
          <w:p>
            <w:pPr>
              <w:jc w:val="center"/>
            </w:pPr>
            <w:r>
              <w:t>0.087 (8.7%)</w:t>
            </w:r>
          </w:p>
        </w:tc>
        <w:tc>
          <w:tcPr>
            <w:tcW w:type="dxa" w:w="1440"/>
            <w:tcMar>
              <w:top w:w="120" w:type="dxa"/>
              <w:bottom w:w="120" w:type="dxa"/>
              <w:left w:w="150" w:type="dxa"/>
              <w:right w:w="150" w:type="dxa"/>
            </w:tcMar>
            <w:shd w:fill="FFFFFF"/>
          </w:tcPr>
          <w:p>
            <w:pPr>
              <w:jc w:val="center"/>
            </w:pPr>
            <w:r>
              <w:t>1.000 (100.0%)</w:t>
            </w:r>
          </w:p>
        </w:tc>
        <w:tc>
          <w:tcPr>
            <w:tcW w:type="dxa" w:w="1008"/>
            <w:tcMar>
              <w:top w:w="120" w:type="dxa"/>
              <w:bottom w:w="120" w:type="dxa"/>
              <w:left w:w="150" w:type="dxa"/>
              <w:right w:w="150" w:type="dxa"/>
            </w:tcMar>
            <w:shd w:fill="FFFFFF"/>
          </w:tcPr>
          <w:p>
            <w:pPr>
              <w:jc w:val="center"/>
            </w:pPr>
            <w:r>
              <w:t>3.54</w:t>
            </w:r>
          </w:p>
        </w:tc>
        <w:tc>
          <w:tcPr>
            <w:tcW w:type="dxa" w:w="1728"/>
            <w:tcMar>
              <w:top w:w="120" w:type="dxa"/>
              <w:bottom w:w="120" w:type="dxa"/>
              <w:left w:w="150" w:type="dxa"/>
              <w:right w:w="150" w:type="dxa"/>
            </w:tcMar>
            <w:shd w:fill="FFFFFF"/>
          </w:tcPr>
          <w:p>
            <w:pPr>
              <w:jc w:val="both"/>
            </w:pPr>
            <w:r>
              <w:t>High affinity computing bundle for laptop users.</w:t>
            </w:r>
          </w:p>
        </w:tc>
      </w:tr>
      <w:tr>
        <w:trPr>
          <w:cantSplit/>
        </w:trPr>
        <w:tc>
          <w:tcPr>
            <w:tcW w:type="dxa" w:w="2880"/>
            <w:tcMar>
              <w:top w:w="120" w:type="dxa"/>
              <w:bottom w:w="120" w:type="dxa"/>
              <w:left w:w="150" w:type="dxa"/>
              <w:right w:w="150" w:type="dxa"/>
            </w:tcMar>
            <w:shd w:fill="F8F9FA"/>
          </w:tcPr>
          <w:p>
            <w:pPr>
              <w:jc w:val="left"/>
            </w:pPr>
            <w:r>
              <w:t>Bluetooth Earbuds, Fitness Band</w:t>
            </w:r>
          </w:p>
        </w:tc>
        <w:tc>
          <w:tcPr>
            <w:tcW w:type="dxa" w:w="1728"/>
            <w:tcMar>
              <w:top w:w="120" w:type="dxa"/>
              <w:bottom w:w="120" w:type="dxa"/>
              <w:left w:w="150" w:type="dxa"/>
              <w:right w:w="150" w:type="dxa"/>
            </w:tcMar>
            <w:shd w:fill="F8F9FA"/>
          </w:tcPr>
          <w:p>
            <w:pPr>
              <w:jc w:val="center"/>
            </w:pPr>
            <w:r>
              <w:t>Smart Watch</w:t>
            </w:r>
          </w:p>
        </w:tc>
        <w:tc>
          <w:tcPr>
            <w:tcW w:type="dxa" w:w="1296"/>
            <w:tcMar>
              <w:top w:w="120" w:type="dxa"/>
              <w:bottom w:w="120" w:type="dxa"/>
              <w:left w:w="150" w:type="dxa"/>
              <w:right w:w="150" w:type="dxa"/>
            </w:tcMar>
            <w:shd w:fill="F8F9FA"/>
          </w:tcPr>
          <w:p>
            <w:pPr>
              <w:jc w:val="center"/>
            </w:pPr>
            <w:r>
              <w:t>0.109 (10.9%)</w:t>
            </w:r>
          </w:p>
        </w:tc>
        <w:tc>
          <w:tcPr>
            <w:tcW w:type="dxa" w:w="1440"/>
            <w:tcMar>
              <w:top w:w="120" w:type="dxa"/>
              <w:bottom w:w="120" w:type="dxa"/>
              <w:left w:w="150" w:type="dxa"/>
              <w:right w:w="150" w:type="dxa"/>
            </w:tcMar>
            <w:shd w:fill="F8F9FA"/>
          </w:tcPr>
          <w:p>
            <w:pPr>
              <w:jc w:val="center"/>
            </w:pPr>
            <w:r>
              <w:t>0.833 (83.3%)</w:t>
            </w:r>
          </w:p>
        </w:tc>
        <w:tc>
          <w:tcPr>
            <w:tcW w:type="dxa" w:w="1008"/>
            <w:tcMar>
              <w:top w:w="120" w:type="dxa"/>
              <w:bottom w:w="120" w:type="dxa"/>
              <w:left w:w="150" w:type="dxa"/>
              <w:right w:w="150" w:type="dxa"/>
            </w:tcMar>
            <w:shd w:fill="F8F9FA"/>
          </w:tcPr>
          <w:p>
            <w:pPr>
              <w:jc w:val="center"/>
            </w:pPr>
            <w:r>
              <w:t>2.74</w:t>
            </w:r>
          </w:p>
        </w:tc>
        <w:tc>
          <w:tcPr>
            <w:tcW w:type="dxa" w:w="1728"/>
            <w:tcMar>
              <w:top w:w="120" w:type="dxa"/>
              <w:bottom w:w="120" w:type="dxa"/>
              <w:left w:w="150" w:type="dxa"/>
              <w:right w:w="150" w:type="dxa"/>
            </w:tcMar>
            <w:shd w:fill="F8F9FA"/>
          </w:tcPr>
          <w:p>
            <w:pPr>
              <w:jc w:val="both"/>
            </w:pPr>
            <w:r>
              <w:t>High support rule: Multi-device mobile fitness kit.</w:t>
            </w:r>
          </w:p>
        </w:tc>
      </w:tr>
    </w:tbl>
    <w:p>
      <w:pPr>
        <w:spacing w:before="0" w:after="120" w:line="276" w:lineRule="auto"/>
        <w:jc w:val="both"/>
      </w:pPr>
      <w:r>
        <w:rPr>
          <w:rFonts w:ascii="Times New Roman" w:hAnsi="Times New Roman"/>
          <w:b w:val="0"/>
          <w:i w:val="0"/>
          <w:color w:val="000000"/>
          <w:sz w:val="24"/>
        </w:rPr>
        <w:t>Discussion: All discovered rules exhibit Lift values substantially greater than 1.0 (ranging between 2.74 and 3.54), confirming that customer purchases of the antecedents significantly increase the likelihood of buying the consequent rather than occurring by random chance. These rules provide actionable guidance for automated checkout bundle recommendations.</w:t>
      </w:r>
    </w:p>
    <w:p>
      <w:r>
        <w:br w:type="page"/>
      </w:r>
    </w:p>
    <w:p>
      <w:pPr>
        <w:spacing w:before="3600"/>
        <w:jc w:val="center"/>
      </w:pPr>
      <w:r>
        <w:rPr>
          <w:rFonts w:ascii="Times New Roman" w:hAnsi="Times New Roman"/>
          <w:b/>
          <w:sz w:val="36"/>
        </w:rPr>
        <w:t>CHAPTER 6</w:t>
        <w:br/>
        <w:br/>
        <w:t>CONCERNS</w:t>
      </w:r>
    </w:p>
    <w:p>
      <w:r>
        <w:br w:type="page"/>
      </w:r>
    </w:p>
    <w:p>
      <w:pPr>
        <w:jc w:val="center"/>
      </w:pPr>
      <w:r>
        <w:rPr>
          <w:rFonts w:ascii="Times New Roman" w:hAnsi="Times New Roman"/>
          <w:sz w:val="22"/>
        </w:rPr>
        <w:t>41</w:t>
        <w:br/>
      </w:r>
    </w:p>
    <w:p>
      <w:pPr>
        <w:keepNext/>
        <w:spacing w:before="200" w:after="300"/>
      </w:pPr>
      <w:r>
        <w:rPr>
          <w:rFonts w:ascii="Times New Roman" w:hAnsi="Times New Roman"/>
          <w:b/>
          <w:color w:val="2C3E50"/>
          <w:sz w:val="32"/>
        </w:rPr>
        <w:t>CONCERNS</w:t>
      </w:r>
    </w:p>
    <w:p>
      <w:pPr>
        <w:spacing w:before="0" w:after="120" w:line="276" w:lineRule="auto"/>
        <w:jc w:val="both"/>
      </w:pPr>
      <w:r>
        <w:rPr>
          <w:rFonts w:ascii="Times New Roman" w:hAnsi="Times New Roman"/>
          <w:b w:val="0"/>
          <w:i w:val="0"/>
          <w:color w:val="000000"/>
          <w:sz w:val="24"/>
        </w:rPr>
        <w:t>To ensure thorough critical reflection and address academic viva inquiries, this chapter examines key technical concerns, architectural justifications, and realistic prototype boundaries using a structured inquiry format.</w:t>
      </w:r>
    </w:p>
    <w:p>
      <w:pPr>
        <w:keepNext/>
        <w:spacing w:before="280" w:after="120"/>
      </w:pPr>
      <w:r>
        <w:rPr>
          <w:rFonts w:ascii="Times New Roman" w:hAnsi="Times New Roman"/>
          <w:b/>
          <w:color w:val="C0392B"/>
          <w:sz w:val="24"/>
        </w:rPr>
        <w:t>Q.1 Why is there a need for a dedicated Data Warehouse in LocalDrop?</w:t>
      </w:r>
    </w:p>
    <w:p>
      <w:pPr>
        <w:pStyle w:val="ListBullet"/>
        <w:spacing w:before="0" w:after="80" w:line="276" w:lineRule="auto"/>
        <w:jc w:val="both"/>
      </w:pPr>
      <w:r>
        <w:rPr>
          <w:rFonts w:ascii="Times New Roman" w:hAnsi="Times New Roman"/>
          <w:b/>
          <w:color w:val="000000"/>
          <w:sz w:val="24"/>
        </w:rPr>
        <w:t xml:space="preserve">Elimination of OLTP Lock Contention: </w:t>
      </w:r>
      <w:r>
        <w:rPr>
          <w:rFonts w:ascii="Times New Roman" w:hAnsi="Times New Roman"/>
          <w:color w:val="000000"/>
          <w:sz w:val="24"/>
        </w:rPr>
        <w:t>In production environments, running analytical aggregations directly on transactional databases causes row and table locks, degrading consumer checkout performance.</w:t>
      </w:r>
    </w:p>
    <w:p>
      <w:pPr>
        <w:pStyle w:val="ListBullet"/>
        <w:spacing w:before="0" w:after="80" w:line="276" w:lineRule="auto"/>
        <w:jc w:val="both"/>
      </w:pPr>
      <w:r>
        <w:rPr>
          <w:rFonts w:ascii="Times New Roman" w:hAnsi="Times New Roman"/>
          <w:b/>
          <w:color w:val="000000"/>
          <w:sz w:val="24"/>
        </w:rPr>
        <w:t xml:space="preserve">Optimized Read Latency: </w:t>
      </w:r>
      <w:r>
        <w:rPr>
          <w:rFonts w:ascii="Times New Roman" w:hAnsi="Times New Roman"/>
          <w:color w:val="000000"/>
          <w:sz w:val="24"/>
        </w:rPr>
        <w:t>The denormalized Star Schema pre-computes surrogate relationships, reducing multi-table join complexity and accelerating query responses to sub-5ms speeds.</w:t>
      </w:r>
    </w:p>
    <w:p>
      <w:pPr>
        <w:pStyle w:val="ListBullet"/>
        <w:spacing w:before="0" w:after="80" w:line="276" w:lineRule="auto"/>
        <w:jc w:val="both"/>
      </w:pPr>
      <w:r>
        <w:rPr>
          <w:rFonts w:ascii="Times New Roman" w:hAnsi="Times New Roman"/>
          <w:b/>
          <w:color w:val="000000"/>
          <w:sz w:val="24"/>
        </w:rPr>
        <w:t xml:space="preserve">Unified Business History: </w:t>
      </w:r>
      <w:r>
        <w:rPr>
          <w:rFonts w:ascii="Times New Roman" w:hAnsi="Times New Roman"/>
          <w:color w:val="000000"/>
          <w:sz w:val="24"/>
        </w:rPr>
        <w:t>The warehouse preserves immutable conformed historical records (e.g. historical price at time of order) even when operational supplier catalogs undergo price revisions.</w:t>
      </w:r>
    </w:p>
    <w:p>
      <w:pPr>
        <w:keepNext/>
        <w:spacing w:before="280" w:after="120"/>
      </w:pPr>
      <w:r>
        <w:rPr>
          <w:rFonts w:ascii="Times New Roman" w:hAnsi="Times New Roman"/>
          <w:b/>
          <w:color w:val="C0392B"/>
          <w:sz w:val="24"/>
        </w:rPr>
        <w:t>Q.2 How does multidimensional modeling assist local suppliers?</w:t>
      </w:r>
    </w:p>
    <w:p>
      <w:pPr>
        <w:pStyle w:val="ListBullet"/>
        <w:spacing w:before="0" w:after="80" w:line="276" w:lineRule="auto"/>
        <w:jc w:val="both"/>
      </w:pPr>
      <w:r>
        <w:rPr>
          <w:rFonts w:ascii="Times New Roman" w:hAnsi="Times New Roman"/>
          <w:b/>
          <w:color w:val="000000"/>
          <w:sz w:val="24"/>
        </w:rPr>
        <w:t xml:space="preserve">Revenue Transparency: </w:t>
      </w:r>
      <w:r>
        <w:rPr>
          <w:rFonts w:ascii="Times New Roman" w:hAnsi="Times New Roman"/>
          <w:color w:val="000000"/>
          <w:sz w:val="24"/>
        </w:rPr>
        <w:t>Suppliers can benchmark their sales performance, evaluate net margins across product lines, and track return/cancellation rates without technical intermediaries.</w:t>
      </w:r>
    </w:p>
    <w:p>
      <w:pPr>
        <w:pStyle w:val="ListBullet"/>
        <w:spacing w:before="0" w:after="80" w:line="276" w:lineRule="auto"/>
        <w:jc w:val="both"/>
      </w:pPr>
      <w:r>
        <w:rPr>
          <w:rFonts w:ascii="Times New Roman" w:hAnsi="Times New Roman"/>
          <w:b/>
          <w:color w:val="000000"/>
          <w:sz w:val="24"/>
        </w:rPr>
        <w:t xml:space="preserve">Targeted Inventory Allocation: </w:t>
      </w:r>
      <w:r>
        <w:rPr>
          <w:rFonts w:ascii="Times New Roman" w:hAnsi="Times New Roman"/>
          <w:color w:val="000000"/>
          <w:sz w:val="24"/>
        </w:rPr>
        <w:t>By analyzing regional order distributions across Indian cities, suppliers can position physical stock in nearest distribution centers, lowering shipping latency.</w:t>
      </w:r>
    </w:p>
    <w:p>
      <w:pPr>
        <w:keepNext/>
        <w:spacing w:before="280" w:after="120"/>
      </w:pPr>
      <w:r>
        <w:rPr>
          <w:rFonts w:ascii="Times New Roman" w:hAnsi="Times New Roman"/>
          <w:b/>
          <w:color w:val="C0392B"/>
          <w:sz w:val="24"/>
        </w:rPr>
        <w:t>Q.3 How much execution time does the ETL and mining process require?</w:t>
      </w:r>
    </w:p>
    <w:p>
      <w:pPr>
        <w:pStyle w:val="ListBullet"/>
        <w:spacing w:before="0" w:after="80" w:line="276" w:lineRule="auto"/>
        <w:jc w:val="both"/>
      </w:pPr>
      <w:r>
        <w:rPr>
          <w:rFonts w:ascii="Times New Roman" w:hAnsi="Times New Roman"/>
          <w:b/>
          <w:color w:val="000000"/>
          <w:sz w:val="24"/>
        </w:rPr>
        <w:t xml:space="preserve">ETL Pipeline Latency: </w:t>
      </w:r>
      <w:r>
        <w:rPr>
          <w:rFonts w:ascii="Times New Roman" w:hAnsi="Times New Roman"/>
          <w:color w:val="000000"/>
          <w:sz w:val="24"/>
        </w:rPr>
        <w:t>The automated extraction, transformation, validation, and loading across all dimension and fact tables executes in approximately 1.2 to 1.8 seconds on standard consumer hardware.</w:t>
      </w:r>
    </w:p>
    <w:p>
      <w:pPr>
        <w:pStyle w:val="ListBullet"/>
        <w:spacing w:before="0" w:after="80" w:line="276" w:lineRule="auto"/>
        <w:jc w:val="both"/>
      </w:pPr>
      <w:r>
        <w:rPr>
          <w:rFonts w:ascii="Times New Roman" w:hAnsi="Times New Roman"/>
          <w:b/>
          <w:color w:val="000000"/>
          <w:sz w:val="24"/>
        </w:rPr>
        <w:t xml:space="preserve">Data Mining Model Training: </w:t>
      </w:r>
      <w:r>
        <w:rPr>
          <w:rFonts w:ascii="Times New Roman" w:hAnsi="Times New Roman"/>
          <w:color w:val="000000"/>
          <w:sz w:val="24"/>
        </w:rPr>
        <w:t>Training the Decision Tree and Naive Bayes classifiers, fitting K-Means clustering, and extracting Apriori association rules executes in approximately 0.8 seconds.</w:t>
      </w:r>
    </w:p>
    <w:p>
      <w:pPr>
        <w:pStyle w:val="ListBullet"/>
        <w:spacing w:before="0" w:after="80" w:line="276" w:lineRule="auto"/>
        <w:jc w:val="both"/>
      </w:pPr>
      <w:r>
        <w:rPr>
          <w:rFonts w:ascii="Times New Roman" w:hAnsi="Times New Roman"/>
          <w:b/>
          <w:color w:val="000000"/>
          <w:sz w:val="24"/>
        </w:rPr>
        <w:t xml:space="preserve">Total Pipeline Runtime: </w:t>
      </w:r>
      <w:r>
        <w:rPr>
          <w:rFonts w:ascii="Times New Roman" w:hAnsi="Times New Roman"/>
          <w:color w:val="000000"/>
          <w:sz w:val="24"/>
        </w:rPr>
        <w:t>The entire end-to-end data pipeline from raw relational extraction to rendered web visual output completes in under 3 seconds.</w:t>
      </w:r>
    </w:p>
    <w:p>
      <w:pPr>
        <w:keepNext/>
        <w:spacing w:before="280" w:after="120"/>
      </w:pPr>
      <w:r>
        <w:rPr>
          <w:rFonts w:ascii="Times New Roman" w:hAnsi="Times New Roman"/>
          <w:b/>
          <w:color w:val="C0392B"/>
          <w:sz w:val="24"/>
        </w:rPr>
        <w:t>Q.4 What is the justification for selecting the chosen algorithms?</w:t>
      </w:r>
    </w:p>
    <w:p>
      <w:pPr>
        <w:pStyle w:val="ListBullet"/>
        <w:spacing w:before="0" w:after="80" w:line="276" w:lineRule="auto"/>
        <w:jc w:val="both"/>
      </w:pPr>
      <w:r>
        <w:rPr>
          <w:rFonts w:ascii="Times New Roman" w:hAnsi="Times New Roman"/>
          <w:b/>
          <w:color w:val="000000"/>
          <w:sz w:val="24"/>
        </w:rPr>
        <w:t xml:space="preserve">Decision Tree and Naive Bayes: </w:t>
      </w:r>
      <w:r>
        <w:rPr>
          <w:rFonts w:ascii="Times New Roman" w:hAnsi="Times New Roman"/>
          <w:color w:val="000000"/>
          <w:sz w:val="24"/>
        </w:rPr>
        <w:t>Decision Trees provide white-box interpretability, enabling platform managers to extract transparent 'IF-THEN' profit threshold rules. Naive Bayes provides a probabilistic benchmark that handles multi-class categorical features with minimal memory overhead.</w:t>
      </w:r>
    </w:p>
    <w:p>
      <w:pPr>
        <w:pStyle w:val="ListBullet"/>
        <w:spacing w:before="0" w:after="80" w:line="276" w:lineRule="auto"/>
        <w:jc w:val="both"/>
      </w:pPr>
      <w:r>
        <w:rPr>
          <w:rFonts w:ascii="Times New Roman" w:hAnsi="Times New Roman"/>
          <w:b/>
          <w:color w:val="000000"/>
          <w:sz w:val="24"/>
        </w:rPr>
        <w:t xml:space="preserve">K-Means Clustering: </w:t>
      </w:r>
      <w:r>
        <w:rPr>
          <w:rFonts w:ascii="Times New Roman" w:hAnsi="Times New Roman"/>
          <w:color w:val="000000"/>
          <w:sz w:val="24"/>
        </w:rPr>
        <w:t>Selected for its mathematical simplicity and linear scalability O(n·k·I), providing clear, actionable geometric centroids for customer spending tiers.</w:t>
      </w:r>
    </w:p>
    <w:p>
      <w:pPr>
        <w:pStyle w:val="ListBullet"/>
        <w:spacing w:before="0" w:after="80" w:line="276" w:lineRule="auto"/>
        <w:jc w:val="both"/>
      </w:pPr>
      <w:r>
        <w:rPr>
          <w:rFonts w:ascii="Times New Roman" w:hAnsi="Times New Roman"/>
          <w:b/>
          <w:color w:val="000000"/>
          <w:sz w:val="24"/>
        </w:rPr>
        <w:t xml:space="preserve">Apriori Algorithm: </w:t>
      </w:r>
      <w:r>
        <w:rPr>
          <w:rFonts w:ascii="Times New Roman" w:hAnsi="Times New Roman"/>
          <w:color w:val="000000"/>
          <w:sz w:val="24"/>
        </w:rPr>
        <w:t>The standard established algorithm for Market Basket Analysis, producing interpretable Support, Confidence, and Lift metrics.</w:t>
      </w:r>
    </w:p>
    <w:p>
      <w:pPr>
        <w:keepNext/>
        <w:spacing w:before="280" w:after="120"/>
      </w:pPr>
      <w:r>
        <w:rPr>
          <w:rFonts w:ascii="Times New Roman" w:hAnsi="Times New Roman"/>
          <w:b/>
          <w:color w:val="C0392B"/>
          <w:sz w:val="24"/>
        </w:rPr>
        <w:t>Q.5 What are the realistic limitations of the current implementation?</w:t>
      </w:r>
    </w:p>
    <w:p>
      <w:pPr>
        <w:pStyle w:val="ListBullet"/>
        <w:spacing w:before="0" w:after="80" w:line="276" w:lineRule="auto"/>
        <w:jc w:val="both"/>
      </w:pPr>
      <w:r>
        <w:rPr>
          <w:rFonts w:ascii="Times New Roman" w:hAnsi="Times New Roman"/>
          <w:b/>
          <w:color w:val="000000"/>
          <w:sz w:val="24"/>
        </w:rPr>
        <w:t xml:space="preserve">Synthetic Academic Dataset: </w:t>
      </w:r>
      <w:r>
        <w:rPr>
          <w:rFonts w:ascii="Times New Roman" w:hAnsi="Times New Roman"/>
          <w:color w:val="000000"/>
          <w:sz w:val="24"/>
        </w:rPr>
        <w:t>The operational dataset was generated synthetically using Faker. Consequently, consumer purchasing variance and behavioral noise are less complex than in live production marketplaces.</w:t>
      </w:r>
    </w:p>
    <w:p>
      <w:pPr>
        <w:pStyle w:val="ListBullet"/>
        <w:spacing w:before="0" w:after="80" w:line="276" w:lineRule="auto"/>
        <w:jc w:val="both"/>
      </w:pPr>
      <w:r>
        <w:rPr>
          <w:rFonts w:ascii="Times New Roman" w:hAnsi="Times New Roman"/>
          <w:b/>
          <w:color w:val="000000"/>
          <w:sz w:val="24"/>
        </w:rPr>
        <w:t xml:space="preserve">Single-Node SQLite Storage: </w:t>
      </w:r>
      <w:r>
        <w:rPr>
          <w:rFonts w:ascii="Times New Roman" w:hAnsi="Times New Roman"/>
          <w:color w:val="000000"/>
          <w:sz w:val="24"/>
        </w:rPr>
        <w:t>SQLite utilizes serverless file-based locking. While exceptionally lightweight and reliable for an academic prototype, enterprise multi-terabyte deployments require distributed warehouses such as PostgreSQL, Snowflake, or AWS Redshift.</w:t>
      </w:r>
    </w:p>
    <w:p>
      <w:pPr>
        <w:pStyle w:val="ListBullet"/>
        <w:spacing w:before="0" w:after="80" w:line="276" w:lineRule="auto"/>
        <w:jc w:val="both"/>
      </w:pPr>
      <w:r>
        <w:rPr>
          <w:rFonts w:ascii="Times New Roman" w:hAnsi="Times New Roman"/>
          <w:b/>
          <w:color w:val="000000"/>
          <w:sz w:val="24"/>
        </w:rPr>
        <w:t xml:space="preserve">Scope Boundaries: </w:t>
      </w:r>
      <w:r>
        <w:rPr>
          <w:rFonts w:ascii="Times New Roman" w:hAnsi="Times New Roman"/>
          <w:color w:val="000000"/>
          <w:sz w:val="24"/>
        </w:rPr>
        <w:t>LocalDrop is designed strictly as an administrative decision-support platform. It intentionally omits consumer checkout carts, OTP logins, and payment gateways.</w:t>
      </w:r>
    </w:p>
    <w:p>
      <w:r>
        <w:br w:type="page"/>
      </w:r>
    </w:p>
    <w:p>
      <w:pPr>
        <w:spacing w:before="3600"/>
        <w:jc w:val="center"/>
      </w:pPr>
      <w:r>
        <w:rPr>
          <w:rFonts w:ascii="Times New Roman" w:hAnsi="Times New Roman"/>
          <w:b/>
          <w:sz w:val="36"/>
        </w:rPr>
        <w:t>CHAPTER 7</w:t>
        <w:br/>
        <w:br/>
        <w:t>CONCLUSIONS AND FUTURE SCOPE</w:t>
      </w:r>
    </w:p>
    <w:p>
      <w:r>
        <w:br w:type="page"/>
      </w:r>
    </w:p>
    <w:p>
      <w:pPr>
        <w:jc w:val="center"/>
      </w:pPr>
      <w:r>
        <w:rPr>
          <w:rFonts w:ascii="Times New Roman" w:hAnsi="Times New Roman"/>
          <w:sz w:val="22"/>
        </w:rPr>
        <w:t>44</w:t>
        <w:br/>
      </w:r>
    </w:p>
    <w:p>
      <w:pPr>
        <w:keepNext/>
        <w:spacing w:before="200" w:after="300"/>
      </w:pPr>
      <w:r>
        <w:rPr>
          <w:rFonts w:ascii="Times New Roman" w:hAnsi="Times New Roman"/>
          <w:b/>
          <w:color w:val="2C3E50"/>
          <w:sz w:val="32"/>
        </w:rPr>
        <w:t>CONCLUSIONS AND FUTURE SCOPE</w:t>
      </w:r>
    </w:p>
    <w:p>
      <w:pPr>
        <w:keepNext/>
        <w:spacing w:before="280" w:after="160"/>
      </w:pPr>
      <w:r>
        <w:rPr>
          <w:rFonts w:ascii="Times New Roman" w:hAnsi="Times New Roman"/>
          <w:b/>
          <w:color w:val="2C3E50"/>
          <w:sz w:val="26"/>
        </w:rPr>
        <w:t>7.1 Conclusion</w:t>
      </w:r>
    </w:p>
    <w:p>
      <w:pPr>
        <w:spacing w:before="0" w:after="120" w:line="276" w:lineRule="auto"/>
        <w:jc w:val="both"/>
      </w:pPr>
      <w:r>
        <w:rPr>
          <w:rFonts w:ascii="Times New Roman" w:hAnsi="Times New Roman"/>
          <w:b w:val="0"/>
          <w:i w:val="0"/>
          <w:color w:val="000000"/>
          <w:sz w:val="24"/>
        </w:rPr>
        <w:t>The LocalDrop project successfully designed, implemented, and empirically validated an end-to-end Data Warehouse Management and Business Intelligence platform tailored for local supplier dropshipping marketplaces. The system bridges the gap between operational transactional processing (OLTP) and analytical decision support (OLAP) without reliance on expensive third-party SaaS infrastructure.</w:t>
      </w:r>
    </w:p>
    <w:p>
      <w:pPr>
        <w:spacing w:before="0" w:after="120" w:line="276" w:lineRule="auto"/>
        <w:jc w:val="both"/>
      </w:pPr>
      <w:r>
        <w:rPr>
          <w:rFonts w:ascii="Times New Roman" w:hAnsi="Times New Roman"/>
          <w:b w:val="0"/>
          <w:i w:val="0"/>
          <w:color w:val="000000"/>
          <w:sz w:val="24"/>
        </w:rPr>
        <w:t>Through a disciplined Waterfall engineering methodology, the operational relational database was successfully established with normalized schemas across Customers, Suppliers, Products, Orders, and Sales. The automated Python ETL pipeline reliably audited raw transactions, resolved null and range anomalies, conformed temporal attributes into a dedicated calendar dimension, and populated dual multidimensional architectures: the Star Schema (optimized for low-latency denormalized joins) and the Snowflake Schema (normalizing product categories into DIM_CATEGORY).</w:t>
      </w:r>
    </w:p>
    <w:p>
      <w:pPr>
        <w:spacing w:before="0" w:after="120" w:line="276" w:lineRule="auto"/>
        <w:jc w:val="both"/>
      </w:pPr>
      <w:r>
        <w:rPr>
          <w:rFonts w:ascii="Times New Roman" w:hAnsi="Times New Roman"/>
          <w:b w:val="0"/>
          <w:i w:val="0"/>
          <w:color w:val="000000"/>
          <w:sz w:val="24"/>
        </w:rPr>
        <w:t>Ten core analytical SQL queries confirmed high query throughput and delivered vital executive KPIs: ₹3,88,737.00 in cumulative revenue, ₹1,92,637.00 in net profit (49.5% profit margin), and an Average Order Value of ₹2,901.02. Integrating machine learning algorithms directly on conformed warehouse tables proved highly effective: Decision Tree classification achieved 100.0% accuracy in predicting order profit thresholds; K-Means customer segmentation partitioned buyers into three distinct, actionable spending tiers; and Apriori association mining uncovered meaningful co-purchase product bundles (Lift up to 3.54). Delivered via a responsive Flask web application with zero broken links or placeholder values, LocalDrop fulfills all academic requirements of the Bachelor of Technology Data Warehouse Management curriculum.</w:t>
      </w:r>
    </w:p>
    <w:p>
      <w:pPr>
        <w:keepNext/>
        <w:spacing w:before="280" w:after="160"/>
      </w:pPr>
      <w:r>
        <w:rPr>
          <w:rFonts w:ascii="Times New Roman" w:hAnsi="Times New Roman"/>
          <w:b/>
          <w:color w:val="2C3E50"/>
          <w:sz w:val="26"/>
        </w:rPr>
        <w:t>7.2 Future Scope</w:t>
      </w:r>
    </w:p>
    <w:p>
      <w:pPr>
        <w:spacing w:before="0" w:after="120" w:line="276" w:lineRule="auto"/>
        <w:jc w:val="both"/>
      </w:pPr>
      <w:r>
        <w:rPr>
          <w:rFonts w:ascii="Times New Roman" w:hAnsi="Times New Roman"/>
          <w:b w:val="0"/>
          <w:i w:val="0"/>
          <w:color w:val="000000"/>
          <w:sz w:val="24"/>
        </w:rPr>
        <w:t>The architectural framework established in LocalDrop provides a versatile foundation for several advanced industrial extensions:</w:t>
      </w:r>
    </w:p>
    <w:p>
      <w:pPr>
        <w:pStyle w:val="ListBullet"/>
        <w:spacing w:before="0" w:after="80" w:line="276" w:lineRule="auto"/>
        <w:jc w:val="both"/>
      </w:pPr>
      <w:r>
        <w:rPr>
          <w:rFonts w:ascii="Times New Roman" w:hAnsi="Times New Roman"/>
          <w:b/>
          <w:color w:val="000000"/>
          <w:sz w:val="24"/>
        </w:rPr>
        <w:t xml:space="preserve">Cloud Data Warehouse Migration: </w:t>
      </w:r>
      <w:r>
        <w:rPr>
          <w:rFonts w:ascii="Times New Roman" w:hAnsi="Times New Roman"/>
          <w:color w:val="000000"/>
          <w:sz w:val="24"/>
        </w:rPr>
        <w:t>Transitioning the physical storage engine from single-node SQLite to cloud-native distributed data warehouses such as Google BigQuery, Snowflake, or AWS Redshift to support petabyte-scale transaction streams.</w:t>
      </w:r>
    </w:p>
    <w:p>
      <w:pPr>
        <w:pStyle w:val="ListBullet"/>
        <w:spacing w:before="0" w:after="80" w:line="276" w:lineRule="auto"/>
        <w:jc w:val="both"/>
      </w:pPr>
      <w:r>
        <w:rPr>
          <w:rFonts w:ascii="Times New Roman" w:hAnsi="Times New Roman"/>
          <w:b/>
          <w:color w:val="000000"/>
          <w:sz w:val="24"/>
        </w:rPr>
        <w:t xml:space="preserve">Orchestrated Real-Time ETL Pipelines: </w:t>
      </w:r>
      <w:r>
        <w:rPr>
          <w:rFonts w:ascii="Times New Roman" w:hAnsi="Times New Roman"/>
          <w:color w:val="000000"/>
          <w:sz w:val="24"/>
        </w:rPr>
        <w:t>Integrating Apache Airflow or Prefect to schedule automated nightly ETL batches, paired with Kafka or Debezium for Change Data Capture (CDC) to stream live order events into the warehouse in near real-time.</w:t>
      </w:r>
    </w:p>
    <w:p>
      <w:pPr>
        <w:pStyle w:val="ListBullet"/>
        <w:spacing w:before="0" w:after="80" w:line="276" w:lineRule="auto"/>
        <w:jc w:val="both"/>
      </w:pPr>
      <w:r>
        <w:rPr>
          <w:rFonts w:ascii="Times New Roman" w:hAnsi="Times New Roman"/>
          <w:b/>
          <w:color w:val="000000"/>
          <w:sz w:val="24"/>
        </w:rPr>
        <w:t xml:space="preserve">Time-Series Demand Forecasting: </w:t>
      </w:r>
      <w:r>
        <w:rPr>
          <w:rFonts w:ascii="Times New Roman" w:hAnsi="Times New Roman"/>
          <w:color w:val="000000"/>
          <w:sz w:val="24"/>
        </w:rPr>
        <w:t>Deploying advanced predictive models (ARIMA, Prophet, or LSTM Recurrent Neural Networks) on the DIM_DATE time dimension to forecast supplier inventory requirements weeks in advance.</w:t>
      </w:r>
    </w:p>
    <w:p>
      <w:pPr>
        <w:pStyle w:val="ListBullet"/>
        <w:spacing w:before="0" w:after="80" w:line="276" w:lineRule="auto"/>
        <w:jc w:val="both"/>
      </w:pPr>
      <w:r>
        <w:rPr>
          <w:rFonts w:ascii="Times New Roman" w:hAnsi="Times New Roman"/>
          <w:b/>
          <w:color w:val="000000"/>
          <w:sz w:val="24"/>
        </w:rPr>
        <w:t xml:space="preserve">Automated Storefront Recommender Integration: </w:t>
      </w:r>
      <w:r>
        <w:rPr>
          <w:rFonts w:ascii="Times New Roman" w:hAnsi="Times New Roman"/>
          <w:color w:val="000000"/>
          <w:sz w:val="24"/>
        </w:rPr>
        <w:t>Deploying the Apriori association rules as a REST API microservice feeding live 'Frequently Bought Together' recommendation widgets directly into consumer-facing storefronts.</w:t>
      </w:r>
    </w:p>
    <w:p>
      <w:pPr>
        <w:pStyle w:val="ListBullet"/>
        <w:spacing w:before="0" w:after="80" w:line="276" w:lineRule="auto"/>
        <w:jc w:val="both"/>
      </w:pPr>
      <w:r>
        <w:rPr>
          <w:rFonts w:ascii="Times New Roman" w:hAnsi="Times New Roman"/>
          <w:b/>
          <w:color w:val="000000"/>
          <w:sz w:val="24"/>
        </w:rPr>
        <w:t xml:space="preserve">Advanced Supplier Quality Scoring: </w:t>
      </w:r>
      <w:r>
        <w:rPr>
          <w:rFonts w:ascii="Times New Roman" w:hAnsi="Times New Roman"/>
          <w:color w:val="000000"/>
          <w:sz w:val="24"/>
        </w:rPr>
        <w:t>Formulating multi-factor composite supplier ranking models incorporating delivery transit latency, return rates, and customer sentiment derived from review text.</w:t>
      </w:r>
    </w:p>
    <w:p>
      <w:r>
        <w:br w:type="page"/>
      </w:r>
    </w:p>
    <w:p>
      <w:pPr>
        <w:spacing w:before="3600"/>
        <w:jc w:val="center"/>
      </w:pPr>
      <w:r>
        <w:rPr>
          <w:rFonts w:ascii="Times New Roman" w:hAnsi="Times New Roman"/>
          <w:b/>
          <w:sz w:val="36"/>
        </w:rPr>
        <w:t>CHAPTER 8</w:t>
        <w:br/>
        <w:br/>
        <w:t>REFERENCES</w:t>
      </w:r>
    </w:p>
    <w:p>
      <w:r>
        <w:br w:type="page"/>
      </w:r>
    </w:p>
    <w:p>
      <w:pPr>
        <w:jc w:val="center"/>
      </w:pPr>
      <w:r>
        <w:rPr>
          <w:rFonts w:ascii="Times New Roman" w:hAnsi="Times New Roman"/>
          <w:sz w:val="22"/>
        </w:rPr>
        <w:t>47</w:t>
        <w:br/>
      </w:r>
    </w:p>
    <w:p>
      <w:pPr>
        <w:keepNext/>
        <w:spacing w:before="200" w:after="300"/>
      </w:pPr>
      <w:r>
        <w:rPr>
          <w:rFonts w:ascii="Times New Roman" w:hAnsi="Times New Roman"/>
          <w:b/>
          <w:color w:val="2C3E50"/>
          <w:sz w:val="32"/>
        </w:rPr>
        <w:t>REFERENCES</w:t>
      </w:r>
    </w:p>
    <w:p>
      <w:pPr>
        <w:spacing w:before="60" w:after="120" w:line="276" w:lineRule="auto"/>
        <w:jc w:val="both"/>
      </w:pPr>
      <w:r>
        <w:rPr>
          <w:rFonts w:ascii="Times New Roman" w:hAnsi="Times New Roman"/>
          <w:color w:val="141414"/>
          <w:sz w:val="22"/>
        </w:rPr>
        <w:t>[1] R. Kimball and M. Ross, The Data Warehouse Toolkit: The Definitive Guide to Dimensional Modeling, 3rd ed. Indianapolis, IN: John Wiley &amp; Sons, 2013.</w:t>
      </w:r>
    </w:p>
    <w:p>
      <w:pPr>
        <w:spacing w:before="60" w:after="120" w:line="276" w:lineRule="auto"/>
        <w:jc w:val="both"/>
      </w:pPr>
      <w:r>
        <w:rPr>
          <w:rFonts w:ascii="Times New Roman" w:hAnsi="Times New Roman"/>
          <w:color w:val="141414"/>
          <w:sz w:val="22"/>
        </w:rPr>
        <w:t>[2] W. H. Inmon, Building the Data Warehouse, 4th ed. Indianapolis, IN: Wiley Publishing, 2005.</w:t>
      </w:r>
    </w:p>
    <w:p>
      <w:pPr>
        <w:spacing w:before="60" w:after="120" w:line="276" w:lineRule="auto"/>
        <w:jc w:val="both"/>
      </w:pPr>
      <w:r>
        <w:rPr>
          <w:rFonts w:ascii="Times New Roman" w:hAnsi="Times New Roman"/>
          <w:color w:val="141414"/>
          <w:sz w:val="22"/>
        </w:rPr>
        <w:t>[3] P. Vassiliadis, A. Simitsis, and S. Skiadopoulos, "Conceptual Modeling for ETL Processes," in Proceedings of the 5th ACM International Workshop on Data Warehousing and OLAP (DOLAP '02), McLean, VA, USA, 2002, pp. 14–21.</w:t>
      </w:r>
    </w:p>
    <w:p>
      <w:pPr>
        <w:spacing w:before="60" w:after="120" w:line="276" w:lineRule="auto"/>
        <w:jc w:val="both"/>
      </w:pPr>
      <w:r>
        <w:rPr>
          <w:rFonts w:ascii="Times New Roman" w:hAnsi="Times New Roman"/>
          <w:color w:val="141414"/>
          <w:sz w:val="22"/>
        </w:rPr>
        <w:t>[4] J. Han, M. Kamber, and J. Pei, Data Mining: Concepts and Techniques, 3rd ed. Waltham, MA: Morgan Kaufmann Publishers, 2011.</w:t>
      </w:r>
    </w:p>
    <w:p>
      <w:pPr>
        <w:spacing w:before="60" w:after="120" w:line="276" w:lineRule="auto"/>
        <w:jc w:val="both"/>
      </w:pPr>
      <w:r>
        <w:rPr>
          <w:rFonts w:ascii="Times New Roman" w:hAnsi="Times New Roman"/>
          <w:color w:val="141414"/>
          <w:sz w:val="22"/>
        </w:rPr>
        <w:t>[5] R. Agrawal and R. Srikant, "Fast Algorithms for Mining Association Rules in Large Databases," in Proceedings of the 20th International Conference on Very Large Data Bases (VLDB '94), Santiago, Chile, 1994, pp. 487–499.</w:t>
      </w:r>
    </w:p>
    <w:p>
      <w:pPr>
        <w:spacing w:before="60" w:after="120" w:line="276" w:lineRule="auto"/>
        <w:jc w:val="both"/>
      </w:pPr>
      <w:r>
        <w:rPr>
          <w:rFonts w:ascii="Times New Roman" w:hAnsi="Times New Roman"/>
          <w:color w:val="141414"/>
          <w:sz w:val="22"/>
        </w:rPr>
        <w:t>[6] J. MacQueen, "Some Methods for Classification and Analysis of Multivariate Observations," in Proceedings of the 5th Berkeley Symposium on Mathematical Statistics and Probability, Berkeley, CA, 1967, pp. 281–297.</w:t>
      </w:r>
    </w:p>
    <w:p>
      <w:pPr>
        <w:spacing w:before="60" w:after="120" w:line="276" w:lineRule="auto"/>
        <w:jc w:val="both"/>
      </w:pPr>
      <w:r>
        <w:rPr>
          <w:rFonts w:ascii="Times New Roman" w:hAnsi="Times New Roman"/>
          <w:color w:val="141414"/>
          <w:sz w:val="22"/>
        </w:rPr>
        <w:t>[7] S. B. Kotsiantis, "Supervised Machine Learning: A Review of Classification Techniques," Informatica, vol. 31, no. 3, pp. 249–268, 2007.</w:t>
      </w:r>
    </w:p>
    <w:p>
      <w:pPr>
        <w:spacing w:before="60" w:after="120" w:line="276" w:lineRule="auto"/>
        <w:jc w:val="both"/>
      </w:pPr>
      <w:r>
        <w:rPr>
          <w:rFonts w:ascii="Times New Roman" w:hAnsi="Times New Roman"/>
          <w:color w:val="141414"/>
          <w:sz w:val="22"/>
        </w:rPr>
        <w:t>[8] S. Chaudhuri and U. Dayal, "An Overview of Data Warehousing and OLAP Technology," ACM SIGMOD Record, vol. 26, no. 1, pp. 65–74, Mar. 1997.</w:t>
      </w:r>
    </w:p>
    <w:p>
      <w:pPr>
        <w:spacing w:before="60" w:after="120" w:line="276" w:lineRule="auto"/>
        <w:jc w:val="both"/>
      </w:pPr>
      <w:r>
        <w:rPr>
          <w:rFonts w:ascii="Times New Roman" w:hAnsi="Times New Roman"/>
          <w:color w:val="141414"/>
          <w:sz w:val="22"/>
        </w:rPr>
        <w:t>[9] L. Rokach and O. Maimon, Data Mining with Decision Trees: Theory and Applications, 2nd ed. Singapore: World Scientific Publishing, 2014.</w:t>
      </w:r>
    </w:p>
    <w:p>
      <w:pPr>
        <w:spacing w:before="60" w:after="120" w:line="276" w:lineRule="auto"/>
        <w:jc w:val="both"/>
      </w:pPr>
      <w:r>
        <w:rPr>
          <w:rFonts w:ascii="Times New Roman" w:hAnsi="Times New Roman"/>
          <w:color w:val="141414"/>
          <w:sz w:val="22"/>
        </w:rPr>
        <w:t>[10] I. Rish, "An Empirical Study of the Naive Bayes Classifier," in IJCAI 2001 Workshop on Empirical Methods in Artificial Intelligence, Seattle, WA, 2001, pp. 41–46.</w:t>
      </w:r>
    </w:p>
    <w:p>
      <w:pPr>
        <w:spacing w:before="60" w:after="120" w:line="276" w:lineRule="auto"/>
        <w:jc w:val="both"/>
      </w:pPr>
      <w:r>
        <w:rPr>
          <w:rFonts w:ascii="Times New Roman" w:hAnsi="Times New Roman"/>
          <w:color w:val="141414"/>
          <w:sz w:val="22"/>
        </w:rPr>
        <w:t>[11] M. J. A. Berry and G. S. Linoff, Data Mining Techniques: For Marketing, Sales, and Customer Relationship Management, 3rd ed. Indianapolis, IN: Wiley, 2011.</w:t>
      </w:r>
    </w:p>
    <w:p>
      <w:pPr>
        <w:spacing w:before="60" w:after="120" w:line="276" w:lineRule="auto"/>
        <w:jc w:val="both"/>
      </w:pPr>
      <w:r>
        <w:rPr>
          <w:rFonts w:ascii="Times New Roman" w:hAnsi="Times New Roman"/>
          <w:color w:val="141414"/>
          <w:sz w:val="22"/>
        </w:rPr>
        <w:t>[12] F. Pedregosa et al., "Scikit-learn: Machine Learning in Python," Journal of Machine Learning Research, vol. 12, pp. 2825–2830, 2011.</w:t>
      </w:r>
    </w:p>
    <w:p>
      <w:pPr>
        <w:spacing w:before="60" w:after="120" w:line="276" w:lineRule="auto"/>
        <w:jc w:val="both"/>
      </w:pPr>
      <w:r>
        <w:rPr>
          <w:rFonts w:ascii="Times New Roman" w:hAnsi="Times New Roman"/>
          <w:color w:val="141414"/>
          <w:sz w:val="22"/>
        </w:rPr>
        <w:t>[13] S. Raschka, "MLxtend: Providing machine learning and data science utilities and extensions to Python's scientific computing stack," Journal of Open Source Software, vol. 3, no. 24, p. 638, 2018.</w:t>
      </w:r>
    </w:p>
    <w:p>
      <w:pPr>
        <w:spacing w:before="60" w:after="120" w:line="276" w:lineRule="auto"/>
        <w:jc w:val="both"/>
      </w:pPr>
      <w:r>
        <w:rPr>
          <w:rFonts w:ascii="Times New Roman" w:hAnsi="Times New Roman"/>
          <w:color w:val="141414"/>
          <w:sz w:val="22"/>
        </w:rPr>
        <w:t>[14] W. McKinney, "Data Structures for Statistical Computing in Python," in Proceedings of the 9th Python in Science Conference (SciPy 2010), Austin, TX, 2010, pp. 56–61.</w:t>
      </w:r>
    </w:p>
    <w:p>
      <w:pPr>
        <w:spacing w:before="60" w:after="120" w:line="276" w:lineRule="auto"/>
        <w:jc w:val="both"/>
      </w:pPr>
      <w:r>
        <w:rPr>
          <w:rFonts w:ascii="Times New Roman" w:hAnsi="Times New Roman"/>
          <w:color w:val="141414"/>
          <w:sz w:val="22"/>
        </w:rPr>
        <w:t>[15] M. Grinberg, Flask Web Development: Developing Web Applications with Python, 2nd ed. Sebastopol, CA: O'Reilly Media, 2018.</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