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color w:val="3E058C"/>
          <w:sz w:val="17"/>
        </w:rPr>
        <w:t>WENUP ENGINEERING TECHNICAL EVALUATION</w:t>
      </w:r>
    </w:p>
    <w:p>
      <w:pPr>
        <w:spacing w:before="40" w:after="80"/>
      </w:pPr>
      <w:r>
        <w:rPr>
          <w:rFonts w:ascii="Arial" w:hAnsi="Arial"/>
          <w:b/>
          <w:color w:val="2D006B"/>
          <w:sz w:val="44"/>
        </w:rPr>
        <w:t>Architectural Trade-offs &amp; Decision Report</w:t>
      </w:r>
    </w:p>
    <w:p>
      <w:pPr>
        <w:spacing w:before="0" w:after="280"/>
      </w:pPr>
      <w:r>
        <w:rPr>
          <w:rFonts w:ascii="Arial" w:hAnsi="Arial"/>
          <w:color w:val="5F5577"/>
          <w:sz w:val="22"/>
        </w:rPr>
        <w:t>Comparative Analysis, Empirical Validation Experiments, and Retained Engineering Decisions</w:t>
      </w:r>
    </w:p>
    <w:p>
      <w:pPr>
        <w:spacing w:before="0" w:after="280"/>
      </w:pPr>
      <w:r>
        <w:rPr>
          <w:color w:val="3E058C"/>
        </w:rPr>
        <w:t>――――――――――――――――――――――――――――――――――――――――――――――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360"/>
            <w:shd w:fill="F3EFFF"/>
            <w:tcMar>
              <w:top w:w="140" w:type="dxa"/>
              <w:bottom w:w="140" w:type="dxa"/>
              <w:left w:w="200" w:type="dxa"/>
              <w:right w:w="180" w:type="dxa"/>
            </w:tcMar>
            <w:tcBorders>
              <w:top w:val="none"/>
              <w:left w:val="single" w:sz="36" w:space="0" w:color="2D006B"/>
              <w:bottom w:val="none"/>
              <w:right w:val="none"/>
            </w:tcBorders>
          </w:tcPr>
          <w:p>
            <w:pPr>
              <w:spacing w:after="60"/>
            </w:pPr>
            <w:r>
              <w:rPr>
                <w:b/>
                <w:color w:val="2D006B"/>
                <w:sz w:val="21"/>
              </w:rPr>
              <w:t>📌 Core Architectural Thesis</w:t>
              <w:br/>
            </w:r>
            <w:r>
              <w:rPr>
                <w:color w:val="1C0044"/>
                <w:sz w:val="19"/>
              </w:rPr>
              <w:t>In legal intake systems, LLMs excel at unstructured natural language parsing, but must NEVER be given autonomous authority over legal state transitions, cross-field validation, or document text generation. Deterministic Python code must act as the authoritative gatekeeper.</w:t>
            </w:r>
          </w:p>
        </w:tc>
      </w:tr>
    </w:tbl>
    <w:p>
      <w:pPr>
        <w:spacing w:before="40" w:after="80"/>
      </w:pPr>
    </w:p>
    <w:p>
      <w:pPr>
        <w:pStyle w:val="Heading1"/>
        <w:keepNext/>
        <w:spacing w:before="280" w:after="100"/>
      </w:pPr>
      <w:r>
        <w:rPr>
          <w:rFonts w:ascii="Arial" w:hAnsi="Arial"/>
          <w:b/>
          <w:color w:val="2D006B"/>
          <w:sz w:val="32"/>
        </w:rPr>
        <w:t>1. Problem Context: The Risks of Pure Conversational LLMs</w:t>
      </w:r>
    </w:p>
    <w:p>
      <w:r>
        <w:t>Standard LLM chat applications suffer from three critical legal failure modes:</w:t>
        <w:br/>
        <w:t>1. Hallucination &amp; Fabrication: Adding plausible beneficiaries, conditions, or boilerplate clauses never stated by the user.</w:t>
        <w:br/>
        <w:t>2. Silent State Corruption: Allowing out-of-order answers or casual digressions to overwrite verified legal data.</w:t>
        <w:br/>
        <w:t>3. Loss of Provenance: Inability to audit exactly why a clause appeared in the final draft.</w:t>
      </w:r>
    </w:p>
    <w:p>
      <w:pPr>
        <w:pStyle w:val="Heading1"/>
        <w:keepNext/>
        <w:spacing w:before="280" w:after="100"/>
      </w:pPr>
      <w:r>
        <w:rPr>
          <w:rFonts w:ascii="Arial" w:hAnsi="Arial"/>
          <w:b/>
          <w:color w:val="2D006B"/>
          <w:sz w:val="32"/>
        </w:rPr>
        <w:t>2. Architectural Alternatives Compared &amp; Rejected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592"/>
            <w:shd w:fill="2D006B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Architecture Dimension</w:t>
            </w:r>
          </w:p>
        </w:tc>
        <w:tc>
          <w:tcPr>
            <w:tcW w:type="dxa" w:w="2592"/>
            <w:shd w:fill="2D006B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Alternative Considered</w:t>
            </w:r>
          </w:p>
        </w:tc>
        <w:tc>
          <w:tcPr>
            <w:tcW w:type="dxa" w:w="3168"/>
            <w:shd w:fill="2D006B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Why Rejected</w:t>
            </w:r>
          </w:p>
        </w:tc>
        <w:tc>
          <w:tcPr>
            <w:tcW w:type="dxa" w:w="1008"/>
            <w:shd w:fill="2D006B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Decision</w:t>
            </w:r>
          </w:p>
        </w:tc>
      </w:tr>
      <w:tr>
        <w:tc>
          <w:tcPr>
            <w:tcW w:type="dxa" w:w="2592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color w:val="1C0044"/>
                <w:sz w:val="17"/>
              </w:rPr>
              <w:t>1. State Representation</w:t>
            </w:r>
          </w:p>
        </w:tc>
        <w:tc>
          <w:tcPr>
            <w:tcW w:type="dxa" w:w="2592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color w:val="1C0044"/>
                <w:sz w:val="17"/>
              </w:rPr>
              <w:t>Implicit Chat Memory (LLM context window)</w:t>
            </w:r>
          </w:p>
        </w:tc>
        <w:tc>
          <w:tcPr>
            <w:tcW w:type="dxa" w:w="3168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color w:val="1C0044"/>
                <w:sz w:val="17"/>
              </w:rPr>
              <w:t>Conversations drift; corrections produce ambiguous state; impossible to formally assert in unit tests.</w:t>
            </w:r>
          </w:p>
        </w:tc>
        <w:tc>
          <w:tcPr>
            <w:tcW w:type="dxa" w:w="1008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color w:val="1C0044"/>
                <w:sz w:val="17"/>
              </w:rPr>
              <w:t>Explicit Pydantic State</w:t>
            </w:r>
          </w:p>
        </w:tc>
      </w:tr>
      <w:tr>
        <w:tc>
          <w:tcPr>
            <w:tcW w:type="dxa" w:w="2592"/>
            <w:shd w:fill="F9F7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color w:val="1C0044"/>
                <w:sz w:val="17"/>
              </w:rPr>
              <w:t>2. State Transitions</w:t>
            </w:r>
          </w:p>
        </w:tc>
        <w:tc>
          <w:tcPr>
            <w:tcW w:type="dxa" w:w="2592"/>
            <w:shd w:fill="F9F7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color w:val="1C0044"/>
                <w:sz w:val="17"/>
              </w:rPr>
              <w:t>Autonomous Multi-Agent Loop (LangChain/CrewAI)</w:t>
            </w:r>
          </w:p>
        </w:tc>
        <w:tc>
          <w:tcPr>
            <w:tcW w:type="dxa" w:w="3168"/>
            <w:shd w:fill="F9F7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color w:val="1C0044"/>
                <w:sz w:val="17"/>
              </w:rPr>
              <w:t>Unpredictable recursion; hallucinated tool calls; 3,000–5,000ms latency; opaque state tracking.</w:t>
            </w:r>
          </w:p>
        </w:tc>
        <w:tc>
          <w:tcPr>
            <w:tcW w:type="dxa" w:w="1008"/>
            <w:shd w:fill="F9F7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color w:val="1C0044"/>
                <w:sz w:val="17"/>
              </w:rPr>
              <w:t>Deterministic Python Gating</w:t>
            </w:r>
          </w:p>
        </w:tc>
      </w:tr>
      <w:tr>
        <w:tc>
          <w:tcPr>
            <w:tcW w:type="dxa" w:w="2592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color w:val="1C0044"/>
                <w:sz w:val="17"/>
              </w:rPr>
              <w:t>3. Document Drafting</w:t>
            </w:r>
          </w:p>
        </w:tc>
        <w:tc>
          <w:tcPr>
            <w:tcW w:type="dxa" w:w="2592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color w:val="1C0044"/>
                <w:sz w:val="17"/>
              </w:rPr>
              <w:t>Generative LLM Document Text</w:t>
            </w:r>
          </w:p>
        </w:tc>
        <w:tc>
          <w:tcPr>
            <w:tcW w:type="dxa" w:w="3168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color w:val="1C0044"/>
                <w:sz w:val="17"/>
              </w:rPr>
              <w:t>14.0% empirical hallucination rate; fabricated survivorship clauses; omitted negative states.</w:t>
            </w:r>
          </w:p>
        </w:tc>
        <w:tc>
          <w:tcPr>
            <w:tcW w:type="dxa" w:w="1008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color w:val="1C0044"/>
                <w:sz w:val="17"/>
              </w:rPr>
              <w:t>Deterministic Template Engine</w:t>
            </w:r>
          </w:p>
        </w:tc>
      </w:tr>
      <w:tr>
        <w:tc>
          <w:tcPr>
            <w:tcW w:type="dxa" w:w="2592"/>
            <w:shd w:fill="F9F7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color w:val="1C0044"/>
                <w:sz w:val="17"/>
              </w:rPr>
              <w:t>4. Client Privacy</w:t>
            </w:r>
          </w:p>
        </w:tc>
        <w:tc>
          <w:tcPr>
            <w:tcW w:type="dxa" w:w="2592"/>
            <w:shd w:fill="F9F7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color w:val="1C0044"/>
                <w:sz w:val="17"/>
              </w:rPr>
              <w:t>Browser localStorage Persistence</w:t>
            </w:r>
          </w:p>
        </w:tc>
        <w:tc>
          <w:tcPr>
            <w:tcW w:type="dxa" w:w="3168"/>
            <w:shd w:fill="F9F7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color w:val="1C0044"/>
                <w:sz w:val="17"/>
              </w:rPr>
              <w:t>Storing PII unencrypted in browser storage exposes sensitive estate data on shared household computers.</w:t>
            </w:r>
          </w:p>
        </w:tc>
        <w:tc>
          <w:tcPr>
            <w:tcW w:type="dxa" w:w="1008"/>
            <w:shd w:fill="F9F7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color w:val="1C0044"/>
                <w:sz w:val="17"/>
              </w:rPr>
              <w:t>Transient In-Memory Sessions</w:t>
            </w:r>
          </w:p>
        </w:tc>
      </w:tr>
      <w:tr>
        <w:tc>
          <w:tcPr>
            <w:tcW w:type="dxa" w:w="2592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color w:val="1C0044"/>
                <w:sz w:val="17"/>
              </w:rPr>
              <w:t>5. Concurrency Control</w:t>
            </w:r>
          </w:p>
        </w:tc>
        <w:tc>
          <w:tcPr>
            <w:tcW w:type="dxa" w:w="2592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color w:val="1C0044"/>
                <w:sz w:val="17"/>
              </w:rPr>
              <w:t>Single Global Mutex</w:t>
            </w:r>
          </w:p>
        </w:tc>
        <w:tc>
          <w:tcPr>
            <w:tcW w:type="dxa" w:w="3168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color w:val="1C0044"/>
                <w:sz w:val="17"/>
              </w:rPr>
              <w:t>Serializes all concurrent users across the entire server, causing throughput collapse under multi-user load.</w:t>
            </w:r>
          </w:p>
        </w:tc>
        <w:tc>
          <w:tcPr>
            <w:tcW w:type="dxa" w:w="1008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color w:val="1C0044"/>
                <w:sz w:val="17"/>
              </w:rPr>
              <w:t>Per-Session threading.Lock</w:t>
            </w:r>
          </w:p>
        </w:tc>
      </w:tr>
      <w:tr>
        <w:tc>
          <w:tcPr>
            <w:tcW w:type="dxa" w:w="2592"/>
            <w:shd w:fill="F9F7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color w:val="1C0044"/>
                <w:sz w:val="17"/>
              </w:rPr>
              <w:t>6. Provider Reliability</w:t>
            </w:r>
          </w:p>
        </w:tc>
        <w:tc>
          <w:tcPr>
            <w:tcW w:type="dxa" w:w="2592"/>
            <w:shd w:fill="F9F7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color w:val="1C0044"/>
                <w:sz w:val="17"/>
              </w:rPr>
              <w:t>Single Provider Direct API Calls</w:t>
            </w:r>
          </w:p>
        </w:tc>
        <w:tc>
          <w:tcPr>
            <w:tcW w:type="dxa" w:w="3168"/>
            <w:shd w:fill="F9F7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color w:val="1C0044"/>
                <w:sz w:val="17"/>
              </w:rPr>
              <w:t>External outages, rate limits, or network timeouts immediately crash the user session.</w:t>
            </w:r>
          </w:p>
        </w:tc>
        <w:tc>
          <w:tcPr>
            <w:tcW w:type="dxa" w:w="1008"/>
            <w:shd w:fill="F9F7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color w:val="1C0044"/>
                <w:sz w:val="17"/>
              </w:rPr>
              <w:t>Dual Fallback Client</w:t>
            </w:r>
          </w:p>
        </w:tc>
      </w:tr>
    </w:tbl>
    <w:p>
      <w:pPr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303520" cy="30125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architecture-modal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0125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5F5577"/>
          <w:sz w:val="17"/>
        </w:rPr>
        <w:t>Figure: In-App Architecture Inspector: System data flow showing LLM extraction, deterministic gating, and template generation.</w:t>
      </w:r>
    </w:p>
    <w:p>
      <w:pPr>
        <w:pStyle w:val="Heading1"/>
        <w:keepNext/>
        <w:spacing w:before="280" w:after="100"/>
      </w:pPr>
      <w:r>
        <w:rPr>
          <w:rFonts w:ascii="Arial" w:hAnsi="Arial"/>
          <w:b/>
          <w:color w:val="2D006B"/>
          <w:sz w:val="32"/>
        </w:rPr>
        <w:t>3. Empirical Engineering Experiments &amp; Validations</w:t>
      </w:r>
    </w:p>
    <w:p>
      <w:r>
        <w:t>To validate our design decisions, we conducted four empirical engineering experiments measuring accuracy, security, contradiction handling, and failover resilience: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592"/>
            <w:shd w:fill="2D006B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Experiment</w:t>
            </w:r>
          </w:p>
        </w:tc>
        <w:tc>
          <w:tcPr>
            <w:tcW w:type="dxa" w:w="2592"/>
            <w:shd w:fill="2D006B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Condition A (Naive LLM)</w:t>
            </w:r>
          </w:p>
        </w:tc>
        <w:tc>
          <w:tcPr>
            <w:tcW w:type="dxa" w:w="2592"/>
            <w:shd w:fill="2D006B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Condition B (Retained Design)</w:t>
            </w:r>
          </w:p>
        </w:tc>
        <w:tc>
          <w:tcPr>
            <w:tcW w:type="dxa" w:w="1584"/>
            <w:shd w:fill="2D006B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Outcome</w:t>
            </w:r>
          </w:p>
        </w:tc>
      </w:tr>
      <w:tr>
        <w:tc>
          <w:tcPr>
            <w:tcW w:type="dxa" w:w="2592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color w:val="1C0044"/>
                <w:sz w:val="17"/>
              </w:rPr>
              <w:t>Exp 1: Document Hallucinations</w:t>
            </w:r>
          </w:p>
        </w:tc>
        <w:tc>
          <w:tcPr>
            <w:tcW w:type="dxa" w:w="2592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color w:val="1C0044"/>
                <w:sz w:val="17"/>
              </w:rPr>
              <w:t>14.0% hallucinated clauses (7/50)</w:t>
            </w:r>
          </w:p>
        </w:tc>
        <w:tc>
          <w:tcPr>
            <w:tcW w:type="dxa" w:w="2592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b/>
                <w:color w:val="1C0044"/>
                <w:sz w:val="17"/>
              </w:rPr>
              <w:t>0.0% hallucination (0/50)</w:t>
            </w:r>
          </w:p>
        </w:tc>
        <w:tc>
          <w:tcPr>
            <w:tcW w:type="dxa" w:w="1584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color w:val="1C0044"/>
                <w:sz w:val="17"/>
              </w:rPr>
              <w:t>Zero Error (Template Retained)</w:t>
            </w:r>
          </w:p>
        </w:tc>
      </w:tr>
      <w:tr>
        <w:tc>
          <w:tcPr>
            <w:tcW w:type="dxa" w:w="2592"/>
            <w:shd w:fill="F9F7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color w:val="1C0044"/>
                <w:sz w:val="17"/>
              </w:rPr>
              <w:t>Exp 2: Prompt Injection Defense</w:t>
            </w:r>
          </w:p>
        </w:tc>
        <w:tc>
          <w:tcPr>
            <w:tcW w:type="dxa" w:w="2592"/>
            <w:shd w:fill="F9F7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color w:val="1C0044"/>
                <w:sz w:val="17"/>
              </w:rPr>
              <w:t>32.0% pass rate (6/8 bypassed)</w:t>
            </w:r>
          </w:p>
        </w:tc>
        <w:tc>
          <w:tcPr>
            <w:tcW w:type="dxa" w:w="2592"/>
            <w:shd w:fill="F9F7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b/>
                <w:color w:val="1C0044"/>
                <w:sz w:val="17"/>
              </w:rPr>
              <w:t>100.0% pass rate (0/8 bypassed)</w:t>
            </w:r>
          </w:p>
        </w:tc>
        <w:tc>
          <w:tcPr>
            <w:tcW w:type="dxa" w:w="1584"/>
            <w:shd w:fill="F9F7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b/>
                <w:color w:val="1C0044"/>
                <w:sz w:val="17"/>
              </w:rPr>
              <w:t>100% Gated Defense</w:t>
            </w:r>
          </w:p>
        </w:tc>
      </w:tr>
      <w:tr>
        <w:tc>
          <w:tcPr>
            <w:tcW w:type="dxa" w:w="2592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color w:val="1C0044"/>
                <w:sz w:val="17"/>
              </w:rPr>
              <w:t>Exp 3: Contradiction Safety</w:t>
            </w:r>
          </w:p>
        </w:tc>
        <w:tc>
          <w:tcPr>
            <w:tcW w:type="dxa" w:w="2592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color w:val="1C0044"/>
                <w:sz w:val="17"/>
              </w:rPr>
              <w:t>38.9% silent overwrite rate</w:t>
            </w:r>
          </w:p>
        </w:tc>
        <w:tc>
          <w:tcPr>
            <w:tcW w:type="dxa" w:w="2592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b/>
                <w:color w:val="1C0044"/>
                <w:sz w:val="17"/>
              </w:rPr>
              <w:t>0.0% silent overwrite (100% caught)</w:t>
            </w:r>
          </w:p>
        </w:tc>
        <w:tc>
          <w:tcPr>
            <w:tcW w:type="dxa" w:w="1584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color w:val="1C0044"/>
                <w:sz w:val="17"/>
              </w:rPr>
              <w:t>Quarantine Retained</w:t>
            </w:r>
          </w:p>
        </w:tc>
      </w:tr>
      <w:tr>
        <w:tc>
          <w:tcPr>
            <w:tcW w:type="dxa" w:w="2592"/>
            <w:shd w:fill="F9F7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color w:val="1C0044"/>
                <w:sz w:val="17"/>
              </w:rPr>
              <w:t>Exp 4: Provider Outage Failover</w:t>
            </w:r>
          </w:p>
        </w:tc>
        <w:tc>
          <w:tcPr>
            <w:tcW w:type="dxa" w:w="2592"/>
            <w:shd w:fill="F9F7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b/>
                <w:color w:val="1C0044"/>
                <w:sz w:val="17"/>
              </w:rPr>
              <w:t>0.0% uptime under API outage</w:t>
            </w:r>
          </w:p>
        </w:tc>
        <w:tc>
          <w:tcPr>
            <w:tcW w:type="dxa" w:w="2592"/>
            <w:shd w:fill="F9F7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b/>
                <w:color w:val="1C0044"/>
                <w:sz w:val="17"/>
              </w:rPr>
              <w:t>100.0% uptime (&lt;2ms failover)</w:t>
            </w:r>
          </w:p>
        </w:tc>
        <w:tc>
          <w:tcPr>
            <w:tcW w:type="dxa" w:w="1584"/>
            <w:shd w:fill="F9F7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color w:val="1C0044"/>
                <w:sz w:val="17"/>
              </w:rPr>
              <w:t>Fallback Retained</w:t>
            </w:r>
          </w:p>
        </w:tc>
      </w:tr>
    </w:tbl>
    <w:p>
      <w:pPr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303520" cy="301254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pipeline-telemetry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0125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5F5577"/>
          <w:sz w:val="17"/>
        </w:rPr>
        <w:t>Figure: Live Telemetry Inspector: Real-time provenance tracking showing provider used, latency, and fallback state.</w:t>
      </w:r>
    </w:p>
    <w:p>
      <w:pPr>
        <w:pStyle w:val="Heading1"/>
        <w:keepNext/>
        <w:spacing w:before="280" w:after="100"/>
      </w:pPr>
      <w:r>
        <w:rPr>
          <w:rFonts w:ascii="Arial" w:hAnsi="Arial"/>
          <w:b/>
          <w:color w:val="2D006B"/>
          <w:sz w:val="32"/>
        </w:rPr>
        <w:t>4. The Retained Architecture: System Blueprint</w:t>
      </w:r>
    </w:p>
    <w:p>
      <w:r>
        <w:t>The finalized application consists of three decoupled layers:</w:t>
        <w:br/>
        <w:t>• Extraction Layer (Probabilistic NLU): LLM generates candidate update objects (FieldUpdate) containing field, value, status, and is_correction.</w:t>
        <w:br/>
        <w:t>• Validation &amp; Gating Layer (Deterministic State Machine): Pydantic models validate schemas, enforce domain invariants (e.g. clearing child names if has_children=False), and quarantine unconfirmed contradictions.</w:t>
        <w:br/>
        <w:t>• Document Generation Layer (Rule-Based Templating): Interpolates verified state into a structured legal draft with non-binding disclaimer headers and provenance footers.</w:t>
      </w:r>
    </w:p>
    <w:p>
      <w:pPr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303520" cy="301254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draft-document-preview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0125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5F5577"/>
          <w:sz w:val="17"/>
        </w:rPr>
        <w:t>Figure: Authoritative Legal Draft Preview: Rendered on cream parchment with explicit [Information Required] placeholders.</w:t>
      </w:r>
    </w:p>
    <w:p>
      <w:pPr>
        <w:pStyle w:val="Heading1"/>
        <w:keepNext/>
        <w:spacing w:before="280" w:after="100"/>
      </w:pPr>
      <w:r>
        <w:rPr>
          <w:rFonts w:ascii="Arial" w:hAnsi="Arial"/>
          <w:b/>
          <w:color w:val="2D006B"/>
          <w:sz w:val="32"/>
        </w:rPr>
        <w:t>5. Enterprise Production Roadmap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360"/>
            <w:shd w:fill="F3EFFF"/>
            <w:tcMar>
              <w:top w:w="140" w:type="dxa"/>
              <w:bottom w:w="140" w:type="dxa"/>
              <w:left w:w="200" w:type="dxa"/>
              <w:right w:w="180" w:type="dxa"/>
            </w:tcMar>
            <w:tcBorders>
              <w:top w:val="none"/>
              <w:left w:val="single" w:sz="36" w:space="0" w:color="2D006B"/>
              <w:bottom w:val="none"/>
              <w:right w:val="none"/>
            </w:tcBorders>
          </w:tcPr>
          <w:p>
            <w:pPr>
              <w:spacing w:after="60"/>
            </w:pPr>
            <w:r>
              <w:rPr>
                <w:b/>
                <w:color w:val="2D006B"/>
                <w:sz w:val="21"/>
              </w:rPr>
              <w:t>📌 Production Readiness Note</w:t>
              <w:br/>
            </w:r>
            <w:r>
              <w:rPr>
                <w:color w:val="1C0044"/>
                <w:sz w:val="19"/>
              </w:rPr>
              <w:t>Current deployment uses process-local transient sessions. Per-session locks protect concurrent access to a session within the same Python process. A multi-process or multi-instance production deployment would require shared state and an appropriate distributed concurrency/idempotency strategy (e.g. Redis Redlock, AWS KMS field-level encryption, and OpenTelemetry distributed tracing).</w:t>
            </w:r>
          </w:p>
        </w:tc>
      </w:tr>
    </w:tbl>
    <w:p>
      <w:pPr>
        <w:spacing w:before="40" w:after="80"/>
      </w:pP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