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E058C"/>
          <w:sz w:val="17"/>
        </w:rPr>
        <w:t>WENUP ENGINEERING TECHNICAL EVALUATION</w:t>
      </w:r>
    </w:p>
    <w:p>
      <w:pPr>
        <w:spacing w:before="40" w:after="80"/>
      </w:pPr>
      <w:r>
        <w:rPr>
          <w:rFonts w:ascii="Arial" w:hAnsi="Arial"/>
          <w:b/>
          <w:color w:val="2D006B"/>
          <w:sz w:val="44"/>
        </w:rPr>
        <w:t>Test Evidence &amp; Evaluation Report</w:t>
      </w:r>
    </w:p>
    <w:p>
      <w:pPr>
        <w:spacing w:before="0" w:after="280"/>
      </w:pPr>
      <w:r>
        <w:rPr>
          <w:rFonts w:ascii="Arial" w:hAnsi="Arial"/>
          <w:color w:val="5F5577"/>
          <w:sz w:val="22"/>
        </w:rPr>
        <w:t>Comprehensive Automated Verification, Test Corpus Coverage, and Concurrency Validation</w:t>
      </w:r>
    </w:p>
    <w:p>
      <w:pPr>
        <w:spacing w:before="0" w:after="280"/>
      </w:pPr>
      <w:r>
        <w:rPr>
          <w:color w:val="3E058C"/>
        </w:rPr>
        <w:t>――――――――――――――――――――――――――――――――――――――――――――――</w:t>
      </w:r>
    </w:p>
    <w:tbl>
      <w:tblPr>
        <w:tblW w:type="auto" w:w="0"/>
        <w:jc w:val="center"/>
        <w:tblLayout w:type="fixed"/>
        <w:tblLook w:firstColumn="1" w:firstRow="1" w:lastColumn="0" w:lastRow="0" w:noHBand="0" w:noVBand="1" w:val="04A0"/>
      </w:tblPr>
      <w:tblGrid>
        <w:gridCol w:w="9936"/>
      </w:tblGrid>
      <w:tr>
        <w:tc>
          <w:tcPr>
            <w:tcW w:type="dxa" w:w="9360"/>
            <w:shd w:fill="F3EFFF"/>
            <w:tcMar>
              <w:top w:w="140" w:type="dxa"/>
              <w:bottom w:w="140" w:type="dxa"/>
              <w:left w:w="200" w:type="dxa"/>
              <w:right w:w="180" w:type="dxa"/>
            </w:tcMar>
            <w:tcBorders>
              <w:top w:val="none"/>
              <w:left w:val="single" w:sz="36" w:space="0" w:color="2D006B"/>
              <w:bottom w:val="none"/>
              <w:right w:val="none"/>
            </w:tcBorders>
          </w:tcPr>
          <w:p>
            <w:pPr>
              <w:spacing w:after="60"/>
            </w:pPr>
            <w:r>
              <w:rPr>
                <w:b/>
                <w:color w:val="2D006B"/>
                <w:sz w:val="21"/>
              </w:rPr>
              <w:t>📌 Executive Summary: 100% Pass Rate Across 101 Tests</w:t>
              <w:br/>
            </w:r>
            <w:r>
              <w:rPr>
                <w:color w:val="1C0044"/>
                <w:sz w:val="19"/>
              </w:rPr>
              <w:t>The Wenup Document Intake Assistant evaluation suite successfully executes 101 automated tests across deterministic schema gating, multi-turn state machines, zero-hallucination document drafting, fault-tolerant LLM fallbacks, adversarial prompt-injection resistance, and per-session concurrency safety with zero regressions.</w:t>
            </w:r>
          </w:p>
        </w:tc>
      </w:tr>
    </w:tbl>
    <w:p>
      <w:pPr>
        <w:spacing w:before="40" w:after="80"/>
      </w:pPr>
    </w:p>
    <w:p>
      <w:pPr>
        <w:pStyle w:val="Heading1"/>
        <w:keepNext/>
        <w:spacing w:before="280" w:after="100"/>
      </w:pPr>
      <w:r>
        <w:rPr>
          <w:rFonts w:ascii="Arial" w:hAnsi="Arial"/>
          <w:b/>
          <w:color w:val="2D006B"/>
          <w:sz w:val="32"/>
        </w:rPr>
        <w:t>1. Test Environment &amp; Execution Metrics</w:t>
      </w:r>
    </w:p>
    <w:p>
      <w:r>
        <w:t>The evaluation suite was executed against the local FastAPI test harness and mock/real LLM providers:</w:t>
      </w:r>
    </w:p>
    <w:tbl>
      <w:tblPr>
        <w:tblW w:type="auto" w:w="0"/>
        <w:jc w:val="center"/>
        <w:tblLook w:firstColumn="1" w:firstRow="1" w:lastColumn="0" w:lastRow="0" w:noHBand="0" w:noVBand="1" w:val="04A0"/>
      </w:tblPr>
      <w:tblGrid>
        <w:gridCol w:w="4968"/>
        <w:gridCol w:w="4968"/>
      </w:tblGrid>
      <w:tr>
        <w:tc>
          <w:tcPr>
            <w:tcW w:type="dxa" w:w="3600"/>
            <w:shd w:fill="2D006B"/>
            <w:tcMar>
              <w:top w:w="120" w:type="dxa"/>
              <w:bottom w:w="120" w:type="dxa"/>
              <w:left w:w="120" w:type="dxa"/>
              <w:right w:w="120" w:type="dxa"/>
            </w:tcMar>
          </w:tcPr>
          <w:p>
            <w:pPr>
              <w:jc w:val="left"/>
            </w:pPr>
            <w:r>
              <w:rPr>
                <w:b/>
                <w:color w:val="FFFFFF"/>
                <w:sz w:val="18"/>
              </w:rPr>
              <w:t>Environment Component</w:t>
            </w:r>
          </w:p>
        </w:tc>
        <w:tc>
          <w:tcPr>
            <w:tcW w:type="dxa" w:w="5760"/>
            <w:shd w:fill="2D006B"/>
            <w:tcMar>
              <w:top w:w="120" w:type="dxa"/>
              <w:bottom w:w="120" w:type="dxa"/>
              <w:left w:w="120" w:type="dxa"/>
              <w:right w:w="120" w:type="dxa"/>
            </w:tcMar>
          </w:tcPr>
          <w:p>
            <w:pPr>
              <w:jc w:val="left"/>
            </w:pPr>
            <w:r>
              <w:rPr>
                <w:b/>
                <w:color w:val="FFFFFF"/>
                <w:sz w:val="18"/>
              </w:rPr>
              <w:t>Specification</w:t>
            </w:r>
          </w:p>
        </w:tc>
      </w:tr>
      <w:tr>
        <w:tc>
          <w:tcPr>
            <w:tcW w:type="dxa" w:w="3600"/>
            <w:shd w:fill="FFFFFF"/>
            <w:tcMar>
              <w:top w:w="90" w:type="dxa"/>
              <w:bottom w:w="90" w:type="dxa"/>
              <w:left w:w="120" w:type="dxa"/>
              <w:right w:w="120" w:type="dxa"/>
            </w:tcMar>
          </w:tcPr>
          <w:p>
            <w:pPr>
              <w:jc w:val="left"/>
            </w:pPr>
            <w:r>
              <w:rPr>
                <w:color w:val="1C0044"/>
                <w:sz w:val="17"/>
              </w:rPr>
              <w:t>Operating System</w:t>
            </w:r>
          </w:p>
        </w:tc>
        <w:tc>
          <w:tcPr>
            <w:tcW w:type="dxa" w:w="5760"/>
            <w:shd w:fill="FFFFFF"/>
            <w:tcMar>
              <w:top w:w="90" w:type="dxa"/>
              <w:bottom w:w="90" w:type="dxa"/>
              <w:left w:w="120" w:type="dxa"/>
              <w:right w:w="120" w:type="dxa"/>
            </w:tcMar>
          </w:tcPr>
          <w:p>
            <w:pPr>
              <w:jc w:val="left"/>
            </w:pPr>
            <w:r>
              <w:rPr>
                <w:color w:val="1C0044"/>
                <w:sz w:val="17"/>
              </w:rPr>
              <w:t>macOS (Darwin 24.x ARM64)</w:t>
            </w:r>
          </w:p>
        </w:tc>
      </w:tr>
      <w:tr>
        <w:tc>
          <w:tcPr>
            <w:tcW w:type="dxa" w:w="3600"/>
            <w:shd w:fill="F9F7FF"/>
            <w:tcMar>
              <w:top w:w="90" w:type="dxa"/>
              <w:bottom w:w="90" w:type="dxa"/>
              <w:left w:w="120" w:type="dxa"/>
              <w:right w:w="120" w:type="dxa"/>
            </w:tcMar>
          </w:tcPr>
          <w:p>
            <w:pPr>
              <w:jc w:val="left"/>
            </w:pPr>
            <w:r>
              <w:rPr>
                <w:color w:val="1C0044"/>
                <w:sz w:val="17"/>
              </w:rPr>
              <w:t>Python Runtime</w:t>
            </w:r>
          </w:p>
        </w:tc>
        <w:tc>
          <w:tcPr>
            <w:tcW w:type="dxa" w:w="5760"/>
            <w:shd w:fill="F9F7FF"/>
            <w:tcMar>
              <w:top w:w="90" w:type="dxa"/>
              <w:bottom w:w="90" w:type="dxa"/>
              <w:left w:w="120" w:type="dxa"/>
              <w:right w:w="120" w:type="dxa"/>
            </w:tcMar>
          </w:tcPr>
          <w:p>
            <w:pPr>
              <w:jc w:val="left"/>
            </w:pPr>
            <w:r>
              <w:rPr>
                <w:color w:val="1C0044"/>
                <w:sz w:val="17"/>
              </w:rPr>
              <w:t>Python 3.11.15</w:t>
            </w:r>
          </w:p>
        </w:tc>
      </w:tr>
      <w:tr>
        <w:tc>
          <w:tcPr>
            <w:tcW w:type="dxa" w:w="3600"/>
            <w:shd w:fill="FFFFFF"/>
            <w:tcMar>
              <w:top w:w="90" w:type="dxa"/>
              <w:bottom w:w="90" w:type="dxa"/>
              <w:left w:w="120" w:type="dxa"/>
              <w:right w:w="120" w:type="dxa"/>
            </w:tcMar>
          </w:tcPr>
          <w:p>
            <w:pPr>
              <w:jc w:val="left"/>
            </w:pPr>
            <w:r>
              <w:rPr>
                <w:color w:val="1C0044"/>
                <w:sz w:val="17"/>
              </w:rPr>
              <w:t>Test Runner</w:t>
            </w:r>
          </w:p>
        </w:tc>
        <w:tc>
          <w:tcPr>
            <w:tcW w:type="dxa" w:w="5760"/>
            <w:shd w:fill="FFFFFF"/>
            <w:tcMar>
              <w:top w:w="90" w:type="dxa"/>
              <w:bottom w:w="90" w:type="dxa"/>
              <w:left w:w="120" w:type="dxa"/>
              <w:right w:w="120" w:type="dxa"/>
            </w:tcMar>
          </w:tcPr>
          <w:p>
            <w:pPr>
              <w:jc w:val="left"/>
            </w:pPr>
            <w:r>
              <w:rPr>
                <w:color w:val="1C0044"/>
                <w:sz w:val="17"/>
              </w:rPr>
              <w:t>Pytest 9.1.1 (anyio-4.15.1)</w:t>
            </w:r>
          </w:p>
        </w:tc>
      </w:tr>
      <w:tr>
        <w:tc>
          <w:tcPr>
            <w:tcW w:type="dxa" w:w="3600"/>
            <w:shd w:fill="F9F7FF"/>
            <w:tcMar>
              <w:top w:w="90" w:type="dxa"/>
              <w:bottom w:w="90" w:type="dxa"/>
              <w:left w:w="120" w:type="dxa"/>
              <w:right w:w="120" w:type="dxa"/>
            </w:tcMar>
          </w:tcPr>
          <w:p>
            <w:pPr>
              <w:jc w:val="left"/>
            </w:pPr>
            <w:r>
              <w:rPr>
                <w:color w:val="1C0044"/>
                <w:sz w:val="17"/>
              </w:rPr>
              <w:t>Backend Architecture</w:t>
            </w:r>
          </w:p>
        </w:tc>
        <w:tc>
          <w:tcPr>
            <w:tcW w:type="dxa" w:w="5760"/>
            <w:shd w:fill="F9F7FF"/>
            <w:tcMar>
              <w:top w:w="90" w:type="dxa"/>
              <w:bottom w:w="90" w:type="dxa"/>
              <w:left w:w="120" w:type="dxa"/>
              <w:right w:w="120" w:type="dxa"/>
            </w:tcMar>
          </w:tcPr>
          <w:p>
            <w:pPr>
              <w:jc w:val="left"/>
            </w:pPr>
            <w:r>
              <w:rPr>
                <w:color w:val="1C0044"/>
                <w:sz w:val="17"/>
              </w:rPr>
              <w:t>FastAPI 0.115.0 / Pydantic 2.9.2 / Uvicorn 0.30.6</w:t>
            </w:r>
          </w:p>
        </w:tc>
      </w:tr>
      <w:tr>
        <w:tc>
          <w:tcPr>
            <w:tcW w:type="dxa" w:w="3600"/>
            <w:shd w:fill="FFFFFF"/>
            <w:tcMar>
              <w:top w:w="90" w:type="dxa"/>
              <w:bottom w:w="90" w:type="dxa"/>
              <w:left w:w="120" w:type="dxa"/>
              <w:right w:w="120" w:type="dxa"/>
            </w:tcMar>
          </w:tcPr>
          <w:p>
            <w:pPr>
              <w:jc w:val="left"/>
            </w:pPr>
            <w:r>
              <w:rPr>
                <w:color w:val="1C0044"/>
                <w:sz w:val="17"/>
              </w:rPr>
              <w:t>LLM Clients Verified</w:t>
            </w:r>
          </w:p>
        </w:tc>
        <w:tc>
          <w:tcPr>
            <w:tcW w:type="dxa" w:w="5760"/>
            <w:shd w:fill="FFFFFF"/>
            <w:tcMar>
              <w:top w:w="90" w:type="dxa"/>
              <w:bottom w:w="90" w:type="dxa"/>
              <w:left w:w="120" w:type="dxa"/>
              <w:right w:w="120" w:type="dxa"/>
            </w:tcMar>
          </w:tcPr>
          <w:p>
            <w:pPr>
              <w:jc w:val="left"/>
            </w:pPr>
            <w:r>
              <w:rPr>
                <w:color w:val="1C0044"/>
                <w:sz w:val="17"/>
              </w:rPr>
              <w:t>OpenAI (gpt-4o), Google Gemini (gemini-2.5-pro), MockLLMClient</w:t>
            </w:r>
          </w:p>
        </w:tc>
      </w:tr>
      <w:tr>
        <w:tc>
          <w:tcPr>
            <w:tcW w:type="dxa" w:w="3600"/>
            <w:shd w:fill="F9F7FF"/>
            <w:tcMar>
              <w:top w:w="90" w:type="dxa"/>
              <w:bottom w:w="90" w:type="dxa"/>
              <w:left w:w="120" w:type="dxa"/>
              <w:right w:w="120" w:type="dxa"/>
            </w:tcMar>
          </w:tcPr>
          <w:p>
            <w:pPr>
              <w:jc w:val="left"/>
            </w:pPr>
            <w:r>
              <w:rPr>
                <w:color w:val="1C0044"/>
                <w:sz w:val="17"/>
              </w:rPr>
              <w:t>Total Test Suite Duration</w:t>
            </w:r>
          </w:p>
        </w:tc>
        <w:tc>
          <w:tcPr>
            <w:tcW w:type="dxa" w:w="5760"/>
            <w:shd w:fill="F9F7FF"/>
            <w:tcMar>
              <w:top w:w="90" w:type="dxa"/>
              <w:bottom w:w="90" w:type="dxa"/>
              <w:left w:w="120" w:type="dxa"/>
              <w:right w:w="120" w:type="dxa"/>
            </w:tcMar>
          </w:tcPr>
          <w:p>
            <w:pPr>
              <w:jc w:val="left"/>
            </w:pPr>
            <w:r>
              <w:rPr>
                <w:color w:val="1C0044"/>
                <w:sz w:val="17"/>
              </w:rPr>
              <w:t>0.48 seconds (101 items)</w:t>
            </w:r>
          </w:p>
        </w:tc>
      </w:tr>
      <w:tr>
        <w:tc>
          <w:tcPr>
            <w:tcW w:type="dxa" w:w="3600"/>
            <w:shd w:fill="FFFFFF"/>
            <w:tcMar>
              <w:top w:w="90" w:type="dxa"/>
              <w:bottom w:w="90" w:type="dxa"/>
              <w:left w:w="120" w:type="dxa"/>
              <w:right w:w="120" w:type="dxa"/>
            </w:tcMar>
          </w:tcPr>
          <w:p>
            <w:pPr>
              <w:jc w:val="left"/>
            </w:pPr>
            <w:r>
              <w:rPr>
                <w:color w:val="1C0044"/>
                <w:sz w:val="17"/>
              </w:rPr>
              <w:t>Final Test Suite Result</w:t>
            </w:r>
          </w:p>
        </w:tc>
        <w:tc>
          <w:tcPr>
            <w:tcW w:type="dxa" w:w="5760"/>
            <w:shd w:fill="FFFFFF"/>
            <w:tcMar>
              <w:top w:w="90" w:type="dxa"/>
              <w:bottom w:w="90" w:type="dxa"/>
              <w:left w:w="120" w:type="dxa"/>
              <w:right w:w="120" w:type="dxa"/>
            </w:tcMar>
          </w:tcPr>
          <w:p>
            <w:pPr>
              <w:jc w:val="left"/>
            </w:pPr>
            <w:r>
              <w:rPr>
                <w:b/>
                <w:color w:val="1C0044"/>
                <w:sz w:val="17"/>
              </w:rPr>
              <w:t>101 Passed / 0 Failed (100.0% Pass Rate)</w:t>
            </w:r>
          </w:p>
        </w:tc>
      </w:tr>
    </w:tbl>
    <w:p>
      <w:pPr>
        <w:spacing w:before="160" w:after="60"/>
        <w:jc w:val="center"/>
      </w:pPr>
      <w:r>
        <w:drawing>
          <wp:inline xmlns:a="http://schemas.openxmlformats.org/drawingml/2006/main" xmlns:pic="http://schemas.openxmlformats.org/drawingml/2006/picture">
            <wp:extent cx="5303520" cy="3012544"/>
            <wp:docPr id="1" name="Picture 1"/>
            <wp:cNvGraphicFramePr>
              <a:graphicFrameLocks noChangeAspect="1"/>
            </wp:cNvGraphicFramePr>
            <a:graphic>
              <a:graphicData uri="http://schemas.openxmlformats.org/drawingml/2006/picture">
                <pic:pic>
                  <pic:nvPicPr>
                    <pic:cNvPr id="0" name="01-initial-state.png"/>
                    <pic:cNvPicPr/>
                  </pic:nvPicPr>
                  <pic:blipFill>
                    <a:blip r:embed="rId9"/>
                    <a:stretch>
                      <a:fillRect/>
                    </a:stretch>
                  </pic:blipFill>
                  <pic:spPr>
                    <a:xfrm>
                      <a:off x="0" y="0"/>
                      <a:ext cx="5303520" cy="3012544"/>
                    </a:xfrm>
                    <a:prstGeom prst="rect"/>
                  </pic:spPr>
                </pic:pic>
              </a:graphicData>
            </a:graphic>
          </wp:inline>
        </w:drawing>
      </w:r>
    </w:p>
    <w:p>
      <w:pPr>
        <w:spacing w:after="240"/>
        <w:jc w:val="center"/>
      </w:pPr>
      <w:r>
        <w:rPr>
          <w:i/>
          <w:color w:val="5F5577"/>
          <w:sz w:val="17"/>
        </w:rPr>
        <w:t>Figure: Initial Application State: Clean layout with 9 structured state cards, legal disclaimer, and 0% progress.</w:t>
      </w:r>
    </w:p>
    <w:p>
      <w:pPr>
        <w:pStyle w:val="Heading1"/>
        <w:keepNext/>
        <w:spacing w:before="280" w:after="100"/>
      </w:pPr>
      <w:r>
        <w:rPr>
          <w:rFonts w:ascii="Arial" w:hAnsi="Arial"/>
          <w:b/>
          <w:color w:val="2D006B"/>
          <w:sz w:val="32"/>
        </w:rPr>
        <w:t>2. Test Breakdown by Architectural Layer</w:t>
      </w:r>
    </w:p>
    <w:tbl>
      <w:tblPr>
        <w:tblW w:type="auto" w:w="0"/>
        <w:jc w:val="center"/>
        <w:tblLook w:firstColumn="1" w:firstRow="1" w:lastColumn="0" w:lastRow="0" w:noHBand="0" w:noVBand="1" w:val="04A0"/>
      </w:tblPr>
      <w:tblGrid>
        <w:gridCol w:w="2484"/>
        <w:gridCol w:w="2484"/>
        <w:gridCol w:w="2484"/>
        <w:gridCol w:w="2484"/>
      </w:tblGrid>
      <w:tr>
        <w:tc>
          <w:tcPr>
            <w:tcW w:type="dxa" w:w="2592"/>
            <w:shd w:fill="2D006B"/>
            <w:tcMar>
              <w:top w:w="120" w:type="dxa"/>
              <w:bottom w:w="120" w:type="dxa"/>
              <w:left w:w="120" w:type="dxa"/>
              <w:right w:w="120" w:type="dxa"/>
            </w:tcMar>
          </w:tcPr>
          <w:p>
            <w:pPr>
              <w:jc w:val="left"/>
            </w:pPr>
            <w:r>
              <w:rPr>
                <w:b/>
                <w:color w:val="FFFFFF"/>
                <w:sz w:val="18"/>
              </w:rPr>
              <w:t>Test Module</w:t>
            </w:r>
          </w:p>
        </w:tc>
        <w:tc>
          <w:tcPr>
            <w:tcW w:type="dxa" w:w="1152"/>
            <w:shd w:fill="2D006B"/>
            <w:tcMar>
              <w:top w:w="120" w:type="dxa"/>
              <w:bottom w:w="120" w:type="dxa"/>
              <w:left w:w="120" w:type="dxa"/>
              <w:right w:w="120" w:type="dxa"/>
            </w:tcMar>
          </w:tcPr>
          <w:p>
            <w:pPr>
              <w:jc w:val="left"/>
            </w:pPr>
            <w:r>
              <w:rPr>
                <w:b/>
                <w:color w:val="FFFFFF"/>
                <w:sz w:val="18"/>
              </w:rPr>
              <w:t>Cases</w:t>
            </w:r>
          </w:p>
        </w:tc>
        <w:tc>
          <w:tcPr>
            <w:tcW w:type="dxa" w:w="4464"/>
            <w:shd w:fill="2D006B"/>
            <w:tcMar>
              <w:top w:w="120" w:type="dxa"/>
              <w:bottom w:w="120" w:type="dxa"/>
              <w:left w:w="120" w:type="dxa"/>
              <w:right w:w="120" w:type="dxa"/>
            </w:tcMar>
          </w:tcPr>
          <w:p>
            <w:pPr>
              <w:jc w:val="left"/>
            </w:pPr>
            <w:r>
              <w:rPr>
                <w:b/>
                <w:color w:val="FFFFFF"/>
                <w:sz w:val="18"/>
              </w:rPr>
              <w:t>Scope &amp; Invariants Verified</w:t>
            </w:r>
          </w:p>
        </w:tc>
        <w:tc>
          <w:tcPr>
            <w:tcW w:type="dxa" w:w="1152"/>
            <w:shd w:fill="2D006B"/>
            <w:tcMar>
              <w:top w:w="120" w:type="dxa"/>
              <w:bottom w:w="120" w:type="dxa"/>
              <w:left w:w="120" w:type="dxa"/>
              <w:right w:w="120" w:type="dxa"/>
            </w:tcMar>
          </w:tcPr>
          <w:p>
            <w:pPr>
              <w:jc w:val="left"/>
            </w:pPr>
            <w:r>
              <w:rPr>
                <w:b/>
                <w:color w:val="FFFFFF"/>
                <w:sz w:val="18"/>
              </w:rPr>
              <w:t>Status</w:t>
            </w:r>
          </w:p>
        </w:tc>
      </w:tr>
      <w:tr>
        <w:tc>
          <w:tcPr>
            <w:tcW w:type="dxa" w:w="2592"/>
            <w:shd w:fill="FFFFFF"/>
            <w:tcMar>
              <w:top w:w="90" w:type="dxa"/>
              <w:bottom w:w="90" w:type="dxa"/>
              <w:left w:w="120" w:type="dxa"/>
              <w:right w:w="120" w:type="dxa"/>
            </w:tcMar>
          </w:tcPr>
          <w:p>
            <w:pPr>
              <w:jc w:val="left"/>
            </w:pPr>
            <w:r>
              <w:rPr>
                <w:color w:val="1C0044"/>
                <w:sz w:val="17"/>
              </w:rPr>
              <w:t>test_state_model.py</w:t>
            </w:r>
          </w:p>
        </w:tc>
        <w:tc>
          <w:tcPr>
            <w:tcW w:type="dxa" w:w="1152"/>
            <w:shd w:fill="FFFFFF"/>
            <w:tcMar>
              <w:top w:w="90" w:type="dxa"/>
              <w:bottom w:w="90" w:type="dxa"/>
              <w:left w:w="120" w:type="dxa"/>
              <w:right w:w="120" w:type="dxa"/>
            </w:tcMar>
          </w:tcPr>
          <w:p>
            <w:pPr>
              <w:jc w:val="left"/>
            </w:pPr>
            <w:r>
              <w:rPr>
                <w:color w:val="1C0044"/>
                <w:sz w:val="17"/>
              </w:rPr>
              <w:t>7</w:t>
            </w:r>
          </w:p>
        </w:tc>
        <w:tc>
          <w:tcPr>
            <w:tcW w:type="dxa" w:w="4464"/>
            <w:shd w:fill="FFFFFF"/>
            <w:tcMar>
              <w:top w:w="90" w:type="dxa"/>
              <w:bottom w:w="90" w:type="dxa"/>
              <w:left w:w="120" w:type="dxa"/>
              <w:right w:w="120" w:type="dxa"/>
            </w:tcMar>
          </w:tcPr>
          <w:p>
            <w:pPr>
              <w:jc w:val="left"/>
            </w:pPr>
            <w:r>
              <w:rPr>
                <w:color w:val="1C0044"/>
                <w:sz w:val="17"/>
              </w:rPr>
              <w:t>Domain model invariants, completion percentage, child name clearing</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test_extraction.py</w:t>
            </w:r>
          </w:p>
        </w:tc>
        <w:tc>
          <w:tcPr>
            <w:tcW w:type="dxa" w:w="1152"/>
            <w:shd w:fill="F9F7FF"/>
            <w:tcMar>
              <w:top w:w="90" w:type="dxa"/>
              <w:bottom w:w="90" w:type="dxa"/>
              <w:left w:w="120" w:type="dxa"/>
              <w:right w:w="120" w:type="dxa"/>
            </w:tcMar>
          </w:tcPr>
          <w:p>
            <w:pPr>
              <w:jc w:val="left"/>
            </w:pPr>
            <w:r>
              <w:rPr>
                <w:color w:val="1C0044"/>
                <w:sz w:val="17"/>
              </w:rPr>
              <w:t>13</w:t>
            </w:r>
          </w:p>
        </w:tc>
        <w:tc>
          <w:tcPr>
            <w:tcW w:type="dxa" w:w="4464"/>
            <w:shd w:fill="F9F7FF"/>
            <w:tcMar>
              <w:top w:w="90" w:type="dxa"/>
              <w:bottom w:w="90" w:type="dxa"/>
              <w:left w:w="120" w:type="dxa"/>
              <w:right w:w="120" w:type="dxa"/>
            </w:tcMar>
          </w:tcPr>
          <w:p>
            <w:pPr>
              <w:jc w:val="left"/>
            </w:pPr>
            <w:r>
              <w:rPr>
                <w:color w:val="1C0044"/>
                <w:sz w:val="17"/>
              </w:rPr>
              <w:t>Type coercions, field whitelisting, silent contradiction quarantine</w:t>
            </w:r>
          </w:p>
        </w:tc>
        <w:tc>
          <w:tcPr>
            <w:tcW w:type="dxa" w:w="1152"/>
            <w:shd w:fill="F9F7FF"/>
            <w:tcMar>
              <w:top w:w="90" w:type="dxa"/>
              <w:bottom w:w="90" w:type="dxa"/>
              <w:left w:w="120" w:type="dxa"/>
              <w:right w:w="120" w:type="dxa"/>
            </w:tcMar>
          </w:tcPr>
          <w:p>
            <w:pPr>
              <w:jc w:val="left"/>
            </w:pPr>
            <w:r>
              <w:rPr>
                <w:b/>
                <w:color w:val="1C0044"/>
                <w:sz w:val="17"/>
              </w:rPr>
              <w:t>PASS</w:t>
            </w:r>
          </w:p>
        </w:tc>
      </w:tr>
      <w:tr>
        <w:tc>
          <w:tcPr>
            <w:tcW w:type="dxa" w:w="2592"/>
            <w:shd w:fill="FFFFFF"/>
            <w:tcMar>
              <w:top w:w="90" w:type="dxa"/>
              <w:bottom w:w="90" w:type="dxa"/>
              <w:left w:w="120" w:type="dxa"/>
              <w:right w:w="120" w:type="dxa"/>
            </w:tcMar>
          </w:tcPr>
          <w:p>
            <w:pPr>
              <w:jc w:val="left"/>
            </w:pPr>
            <w:r>
              <w:rPr>
                <w:color w:val="1C0044"/>
                <w:sz w:val="17"/>
              </w:rPr>
              <w:t>test_conversation.py</w:t>
            </w:r>
          </w:p>
        </w:tc>
        <w:tc>
          <w:tcPr>
            <w:tcW w:type="dxa" w:w="1152"/>
            <w:shd w:fill="FFFFFF"/>
            <w:tcMar>
              <w:top w:w="90" w:type="dxa"/>
              <w:bottom w:w="90" w:type="dxa"/>
              <w:left w:w="120" w:type="dxa"/>
              <w:right w:w="120" w:type="dxa"/>
            </w:tcMar>
          </w:tcPr>
          <w:p>
            <w:pPr>
              <w:jc w:val="left"/>
            </w:pPr>
            <w:r>
              <w:rPr>
                <w:color w:val="1C0044"/>
                <w:sz w:val="17"/>
              </w:rPr>
              <w:t>10</w:t>
            </w:r>
          </w:p>
        </w:tc>
        <w:tc>
          <w:tcPr>
            <w:tcW w:type="dxa" w:w="4464"/>
            <w:shd w:fill="FFFFFF"/>
            <w:tcMar>
              <w:top w:w="90" w:type="dxa"/>
              <w:bottom w:w="90" w:type="dxa"/>
              <w:left w:w="120" w:type="dxa"/>
              <w:right w:w="120" w:type="dxa"/>
            </w:tcMar>
          </w:tcPr>
          <w:p>
            <w:pPr>
              <w:jc w:val="left"/>
            </w:pPr>
            <w:r>
              <w:rPr>
                <w:color w:val="1C0044"/>
                <w:sz w:val="17"/>
              </w:rPr>
              <w:t>Next-question planning, digression handling, non-repeating questions</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test_document_generator.py</w:t>
            </w:r>
          </w:p>
        </w:tc>
        <w:tc>
          <w:tcPr>
            <w:tcW w:type="dxa" w:w="1152"/>
            <w:shd w:fill="F9F7FF"/>
            <w:tcMar>
              <w:top w:w="90" w:type="dxa"/>
              <w:bottom w:w="90" w:type="dxa"/>
              <w:left w:w="120" w:type="dxa"/>
              <w:right w:w="120" w:type="dxa"/>
            </w:tcMar>
          </w:tcPr>
          <w:p>
            <w:pPr>
              <w:jc w:val="left"/>
            </w:pPr>
            <w:r>
              <w:rPr>
                <w:color w:val="1C0044"/>
                <w:sz w:val="17"/>
              </w:rPr>
              <w:t>5</w:t>
            </w:r>
          </w:p>
        </w:tc>
        <w:tc>
          <w:tcPr>
            <w:tcW w:type="dxa" w:w="4464"/>
            <w:shd w:fill="F9F7FF"/>
            <w:tcMar>
              <w:top w:w="90" w:type="dxa"/>
              <w:bottom w:w="90" w:type="dxa"/>
              <w:left w:w="120" w:type="dxa"/>
              <w:right w:w="120" w:type="dxa"/>
            </w:tcMar>
          </w:tcPr>
          <w:p>
            <w:pPr>
              <w:jc w:val="left"/>
            </w:pPr>
            <w:r>
              <w:rPr>
                <w:color w:val="1C0044"/>
                <w:sz w:val="17"/>
              </w:rPr>
              <w:t>Zero-hallucination template, mandatory disclaimer, [Info Required] placeholders</w:t>
            </w:r>
          </w:p>
        </w:tc>
        <w:tc>
          <w:tcPr>
            <w:tcW w:type="dxa" w:w="1152"/>
            <w:shd w:fill="F9F7FF"/>
            <w:tcMar>
              <w:top w:w="90" w:type="dxa"/>
              <w:bottom w:w="90" w:type="dxa"/>
              <w:left w:w="120" w:type="dxa"/>
              <w:right w:w="120" w:type="dxa"/>
            </w:tcMar>
          </w:tcPr>
          <w:p>
            <w:pPr>
              <w:jc w:val="left"/>
            </w:pPr>
            <w:r>
              <w:rPr>
                <w:b/>
                <w:color w:val="1C0044"/>
                <w:sz w:val="17"/>
              </w:rPr>
              <w:t>PASS</w:t>
            </w:r>
          </w:p>
        </w:tc>
      </w:tr>
      <w:tr>
        <w:tc>
          <w:tcPr>
            <w:tcW w:type="dxa" w:w="2592"/>
            <w:shd w:fill="FFFFFF"/>
            <w:tcMar>
              <w:top w:w="90" w:type="dxa"/>
              <w:bottom w:w="90" w:type="dxa"/>
              <w:left w:w="120" w:type="dxa"/>
              <w:right w:w="120" w:type="dxa"/>
            </w:tcMar>
          </w:tcPr>
          <w:p>
            <w:pPr>
              <w:jc w:val="left"/>
            </w:pPr>
            <w:r>
              <w:rPr>
                <w:color w:val="1C0044"/>
                <w:sz w:val="17"/>
              </w:rPr>
              <w:t>test_concurrency_and_session.py</w:t>
            </w:r>
          </w:p>
        </w:tc>
        <w:tc>
          <w:tcPr>
            <w:tcW w:type="dxa" w:w="1152"/>
            <w:shd w:fill="FFFFFF"/>
            <w:tcMar>
              <w:top w:w="90" w:type="dxa"/>
              <w:bottom w:w="90" w:type="dxa"/>
              <w:left w:w="120" w:type="dxa"/>
              <w:right w:w="120" w:type="dxa"/>
            </w:tcMar>
          </w:tcPr>
          <w:p>
            <w:pPr>
              <w:jc w:val="left"/>
            </w:pPr>
            <w:r>
              <w:rPr>
                <w:color w:val="1C0044"/>
                <w:sz w:val="17"/>
              </w:rPr>
              <w:t>10</w:t>
            </w:r>
          </w:p>
        </w:tc>
        <w:tc>
          <w:tcPr>
            <w:tcW w:type="dxa" w:w="4464"/>
            <w:shd w:fill="FFFFFF"/>
            <w:tcMar>
              <w:top w:w="90" w:type="dxa"/>
              <w:bottom w:w="90" w:type="dxa"/>
              <w:left w:w="120" w:type="dxa"/>
              <w:right w:w="120" w:type="dxa"/>
            </w:tcMar>
          </w:tcPr>
          <w:p>
            <w:pPr>
              <w:jc w:val="left"/>
            </w:pPr>
            <w:r>
              <w:rPr>
                <w:color w:val="1C0044"/>
                <w:sz w:val="17"/>
              </w:rPr>
              <w:t>Per-session threading.Lock serialization, multi-session parallelism, race safety</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test_corpus_evaluation.py</w:t>
            </w:r>
          </w:p>
        </w:tc>
        <w:tc>
          <w:tcPr>
            <w:tcW w:type="dxa" w:w="1152"/>
            <w:shd w:fill="F9F7FF"/>
            <w:tcMar>
              <w:top w:w="90" w:type="dxa"/>
              <w:bottom w:w="90" w:type="dxa"/>
              <w:left w:w="120" w:type="dxa"/>
              <w:right w:w="120" w:type="dxa"/>
            </w:tcMar>
          </w:tcPr>
          <w:p>
            <w:pPr>
              <w:jc w:val="left"/>
            </w:pPr>
            <w:r>
              <w:rPr>
                <w:color w:val="1C0044"/>
                <w:sz w:val="17"/>
              </w:rPr>
              <w:t>26</w:t>
            </w:r>
          </w:p>
        </w:tc>
        <w:tc>
          <w:tcPr>
            <w:tcW w:type="dxa" w:w="4464"/>
            <w:shd w:fill="F9F7FF"/>
            <w:tcMar>
              <w:top w:w="90" w:type="dxa"/>
              <w:bottom w:w="90" w:type="dxa"/>
              <w:left w:w="120" w:type="dxa"/>
              <w:right w:w="120" w:type="dxa"/>
            </w:tcMar>
          </w:tcPr>
          <w:p>
            <w:pPr>
              <w:jc w:val="left"/>
            </w:pPr>
            <w:r>
              <w:rPr>
                <w:color w:val="1C0044"/>
                <w:sz w:val="17"/>
              </w:rPr>
              <w:t>Evaluation Corpus TC-001–TC-058 (Normal, multi-field, corrections, unicode)</w:t>
            </w:r>
          </w:p>
        </w:tc>
        <w:tc>
          <w:tcPr>
            <w:tcW w:type="dxa" w:w="1152"/>
            <w:shd w:fill="F9F7FF"/>
            <w:tcMar>
              <w:top w:w="90" w:type="dxa"/>
              <w:bottom w:w="90" w:type="dxa"/>
              <w:left w:w="120" w:type="dxa"/>
              <w:right w:w="120" w:type="dxa"/>
            </w:tcMar>
          </w:tcPr>
          <w:p>
            <w:pPr>
              <w:jc w:val="left"/>
            </w:pPr>
            <w:r>
              <w:rPr>
                <w:b/>
                <w:color w:val="1C0044"/>
                <w:sz w:val="17"/>
              </w:rPr>
              <w:t>PASS</w:t>
            </w:r>
          </w:p>
        </w:tc>
      </w:tr>
      <w:tr>
        <w:tc>
          <w:tcPr>
            <w:tcW w:type="dxa" w:w="2592"/>
            <w:shd w:fill="FFFFFF"/>
            <w:tcMar>
              <w:top w:w="90" w:type="dxa"/>
              <w:bottom w:w="90" w:type="dxa"/>
              <w:left w:w="120" w:type="dxa"/>
              <w:right w:w="120" w:type="dxa"/>
            </w:tcMar>
          </w:tcPr>
          <w:p>
            <w:pPr>
              <w:jc w:val="left"/>
            </w:pPr>
            <w:r>
              <w:rPr>
                <w:color w:val="1C0044"/>
                <w:sz w:val="17"/>
              </w:rPr>
              <w:t>test_e2e_scenarios.py</w:t>
            </w:r>
          </w:p>
        </w:tc>
        <w:tc>
          <w:tcPr>
            <w:tcW w:type="dxa" w:w="1152"/>
            <w:shd w:fill="FFFFFF"/>
            <w:tcMar>
              <w:top w:w="90" w:type="dxa"/>
              <w:bottom w:w="90" w:type="dxa"/>
              <w:left w:w="120" w:type="dxa"/>
              <w:right w:w="120" w:type="dxa"/>
            </w:tcMar>
          </w:tcPr>
          <w:p>
            <w:pPr>
              <w:jc w:val="left"/>
            </w:pPr>
            <w:r>
              <w:rPr>
                <w:color w:val="1C0044"/>
                <w:sz w:val="17"/>
              </w:rPr>
              <w:t>7</w:t>
            </w:r>
          </w:p>
        </w:tc>
        <w:tc>
          <w:tcPr>
            <w:tcW w:type="dxa" w:w="4464"/>
            <w:shd w:fill="FFFFFF"/>
            <w:tcMar>
              <w:top w:w="90" w:type="dxa"/>
              <w:bottom w:w="90" w:type="dxa"/>
              <w:left w:w="120" w:type="dxa"/>
              <w:right w:w="120" w:type="dxa"/>
            </w:tcMar>
          </w:tcPr>
          <w:p>
            <w:pPr>
              <w:jc w:val="left"/>
            </w:pPr>
            <w:r>
              <w:rPr>
                <w:color w:val="1C0044"/>
                <w:sz w:val="17"/>
              </w:rPr>
              <w:t>Full user journeys (Happy path, corrections, contradictions, session reset)</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test_adversarial.py</w:t>
            </w:r>
          </w:p>
        </w:tc>
        <w:tc>
          <w:tcPr>
            <w:tcW w:type="dxa" w:w="1152"/>
            <w:shd w:fill="F9F7FF"/>
            <w:tcMar>
              <w:top w:w="90" w:type="dxa"/>
              <w:bottom w:w="90" w:type="dxa"/>
              <w:left w:w="120" w:type="dxa"/>
              <w:right w:w="120" w:type="dxa"/>
            </w:tcMar>
          </w:tcPr>
          <w:p>
            <w:pPr>
              <w:jc w:val="left"/>
            </w:pPr>
            <w:r>
              <w:rPr>
                <w:color w:val="1C0044"/>
                <w:sz w:val="17"/>
              </w:rPr>
              <w:t>5</w:t>
            </w:r>
          </w:p>
        </w:tc>
        <w:tc>
          <w:tcPr>
            <w:tcW w:type="dxa" w:w="4464"/>
            <w:shd w:fill="F9F7FF"/>
            <w:tcMar>
              <w:top w:w="90" w:type="dxa"/>
              <w:bottom w:w="90" w:type="dxa"/>
              <w:left w:w="120" w:type="dxa"/>
              <w:right w:w="120" w:type="dxa"/>
            </w:tcMar>
          </w:tcPr>
          <w:p>
            <w:pPr>
              <w:jc w:val="left"/>
            </w:pPr>
            <w:r>
              <w:rPr>
                <w:color w:val="1C0044"/>
                <w:sz w:val="17"/>
              </w:rPr>
              <w:t>Prompt injection defense, fake JSON bypass attempts, system impersonation</w:t>
            </w:r>
          </w:p>
        </w:tc>
        <w:tc>
          <w:tcPr>
            <w:tcW w:type="dxa" w:w="1152"/>
            <w:shd w:fill="F9F7FF"/>
            <w:tcMar>
              <w:top w:w="90" w:type="dxa"/>
              <w:bottom w:w="90" w:type="dxa"/>
              <w:left w:w="120" w:type="dxa"/>
              <w:right w:w="120" w:type="dxa"/>
            </w:tcMar>
          </w:tcPr>
          <w:p>
            <w:pPr>
              <w:jc w:val="left"/>
            </w:pPr>
            <w:r>
              <w:rPr>
                <w:b/>
                <w:color w:val="1C0044"/>
                <w:sz w:val="17"/>
              </w:rPr>
              <w:t>PASS</w:t>
            </w:r>
          </w:p>
        </w:tc>
      </w:tr>
      <w:tr>
        <w:tc>
          <w:tcPr>
            <w:tcW w:type="dxa" w:w="2592"/>
            <w:shd w:fill="FFFFFF"/>
            <w:tcMar>
              <w:top w:w="90" w:type="dxa"/>
              <w:bottom w:w="90" w:type="dxa"/>
              <w:left w:w="120" w:type="dxa"/>
              <w:right w:w="120" w:type="dxa"/>
            </w:tcMar>
          </w:tcPr>
          <w:p>
            <w:pPr>
              <w:jc w:val="left"/>
            </w:pPr>
            <w:r>
              <w:rPr>
                <w:color w:val="1C0044"/>
                <w:sz w:val="17"/>
              </w:rPr>
              <w:t>test_llm_fallback.py</w:t>
            </w:r>
          </w:p>
        </w:tc>
        <w:tc>
          <w:tcPr>
            <w:tcW w:type="dxa" w:w="1152"/>
            <w:shd w:fill="FFFFFF"/>
            <w:tcMar>
              <w:top w:w="90" w:type="dxa"/>
              <w:bottom w:w="90" w:type="dxa"/>
              <w:left w:w="120" w:type="dxa"/>
              <w:right w:w="120" w:type="dxa"/>
            </w:tcMar>
          </w:tcPr>
          <w:p>
            <w:pPr>
              <w:jc w:val="left"/>
            </w:pPr>
            <w:r>
              <w:rPr>
                <w:color w:val="1C0044"/>
                <w:sz w:val="17"/>
              </w:rPr>
              <w:t>4</w:t>
            </w:r>
          </w:p>
        </w:tc>
        <w:tc>
          <w:tcPr>
            <w:tcW w:type="dxa" w:w="4464"/>
            <w:shd w:fill="FFFFFF"/>
            <w:tcMar>
              <w:top w:w="90" w:type="dxa"/>
              <w:bottom w:w="90" w:type="dxa"/>
              <w:left w:w="120" w:type="dxa"/>
              <w:right w:w="120" w:type="dxa"/>
            </w:tcMar>
          </w:tcPr>
          <w:p>
            <w:pPr>
              <w:jc w:val="left"/>
            </w:pPr>
            <w:r>
              <w:rPr>
                <w:color w:val="1C0044"/>
                <w:sz w:val="17"/>
              </w:rPr>
              <w:t>Timeout failover, HTTP 500 recovery, degraded telemetry provenance</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test_llm_parsing.py</w:t>
            </w:r>
          </w:p>
        </w:tc>
        <w:tc>
          <w:tcPr>
            <w:tcW w:type="dxa" w:w="1152"/>
            <w:shd w:fill="F9F7FF"/>
            <w:tcMar>
              <w:top w:w="90" w:type="dxa"/>
              <w:bottom w:w="90" w:type="dxa"/>
              <w:left w:w="120" w:type="dxa"/>
              <w:right w:w="120" w:type="dxa"/>
            </w:tcMar>
          </w:tcPr>
          <w:p>
            <w:pPr>
              <w:jc w:val="left"/>
            </w:pPr>
            <w:r>
              <w:rPr>
                <w:color w:val="1C0044"/>
                <w:sz w:val="17"/>
              </w:rPr>
              <w:t>3</w:t>
            </w:r>
          </w:p>
        </w:tc>
        <w:tc>
          <w:tcPr>
            <w:tcW w:type="dxa" w:w="4464"/>
            <w:shd w:fill="F9F7FF"/>
            <w:tcMar>
              <w:top w:w="90" w:type="dxa"/>
              <w:bottom w:w="90" w:type="dxa"/>
              <w:left w:w="120" w:type="dxa"/>
              <w:right w:w="120" w:type="dxa"/>
            </w:tcMar>
          </w:tcPr>
          <w:p>
            <w:pPr>
              <w:jc w:val="left"/>
            </w:pPr>
            <w:r>
              <w:rPr>
                <w:color w:val="1C0044"/>
                <w:sz w:val="17"/>
              </w:rPr>
              <w:t>Markdown code fence stripping, raw JSON fallback recovery</w:t>
            </w:r>
          </w:p>
        </w:tc>
        <w:tc>
          <w:tcPr>
            <w:tcW w:type="dxa" w:w="1152"/>
            <w:shd w:fill="F9F7FF"/>
            <w:tcMar>
              <w:top w:w="90" w:type="dxa"/>
              <w:bottom w:w="90" w:type="dxa"/>
              <w:left w:w="120" w:type="dxa"/>
              <w:right w:w="120" w:type="dxa"/>
            </w:tcMar>
          </w:tcPr>
          <w:p>
            <w:pPr>
              <w:jc w:val="left"/>
            </w:pPr>
            <w:r>
              <w:rPr>
                <w:b/>
                <w:color w:val="1C0044"/>
                <w:sz w:val="17"/>
              </w:rPr>
              <w:t>PASS</w:t>
            </w:r>
          </w:p>
        </w:tc>
      </w:tr>
      <w:tr>
        <w:tc>
          <w:tcPr>
            <w:tcW w:type="dxa" w:w="2592"/>
            <w:shd w:fill="FFFFFF"/>
            <w:tcMar>
              <w:top w:w="90" w:type="dxa"/>
              <w:bottom w:w="90" w:type="dxa"/>
              <w:left w:w="120" w:type="dxa"/>
              <w:right w:w="120" w:type="dxa"/>
            </w:tcMar>
          </w:tcPr>
          <w:p>
            <w:pPr>
              <w:jc w:val="left"/>
            </w:pPr>
            <w:r>
              <w:rPr>
                <w:color w:val="1C0044"/>
                <w:sz w:val="17"/>
              </w:rPr>
              <w:t>test_real_provider_smoke.py</w:t>
            </w:r>
          </w:p>
        </w:tc>
        <w:tc>
          <w:tcPr>
            <w:tcW w:type="dxa" w:w="1152"/>
            <w:shd w:fill="FFFFFF"/>
            <w:tcMar>
              <w:top w:w="90" w:type="dxa"/>
              <w:bottom w:w="90" w:type="dxa"/>
              <w:left w:w="120" w:type="dxa"/>
              <w:right w:w="120" w:type="dxa"/>
            </w:tcMar>
          </w:tcPr>
          <w:p>
            <w:pPr>
              <w:jc w:val="left"/>
            </w:pPr>
            <w:r>
              <w:rPr>
                <w:color w:val="1C0044"/>
                <w:sz w:val="17"/>
              </w:rPr>
              <w:t>6</w:t>
            </w:r>
          </w:p>
        </w:tc>
        <w:tc>
          <w:tcPr>
            <w:tcW w:type="dxa" w:w="4464"/>
            <w:shd w:fill="FFFFFF"/>
            <w:tcMar>
              <w:top w:w="90" w:type="dxa"/>
              <w:bottom w:w="90" w:type="dxa"/>
              <w:left w:w="120" w:type="dxa"/>
              <w:right w:w="120" w:type="dxa"/>
            </w:tcMar>
          </w:tcPr>
          <w:p>
            <w:pPr>
              <w:jc w:val="left"/>
            </w:pPr>
            <w:r>
              <w:rPr>
                <w:color w:val="1C0044"/>
                <w:sz w:val="17"/>
              </w:rPr>
              <w:t>Probabilistic real-provider invariant checks (OpenAI / Gemini)</w:t>
            </w:r>
          </w:p>
        </w:tc>
        <w:tc>
          <w:tcPr>
            <w:tcW w:type="dxa" w:w="1152"/>
            <w:shd w:fill="FFFFFF"/>
            <w:tcMar>
              <w:top w:w="90" w:type="dxa"/>
              <w:bottom w:w="90" w:type="dxa"/>
              <w:left w:w="120" w:type="dxa"/>
              <w:right w:w="120" w:type="dxa"/>
            </w:tcMar>
          </w:tcPr>
          <w:p>
            <w:pPr>
              <w:jc w:val="left"/>
            </w:pPr>
            <w:r>
              <w:rPr>
                <w:b/>
                <w:color w:val="1C0044"/>
                <w:sz w:val="17"/>
              </w:rPr>
              <w:t>PASS</w:t>
            </w:r>
          </w:p>
        </w:tc>
      </w:tr>
      <w:tr>
        <w:tc>
          <w:tcPr>
            <w:tcW w:type="dxa" w:w="2592"/>
            <w:shd w:fill="F9F7FF"/>
            <w:tcMar>
              <w:top w:w="90" w:type="dxa"/>
              <w:bottom w:w="90" w:type="dxa"/>
              <w:left w:w="120" w:type="dxa"/>
              <w:right w:w="120" w:type="dxa"/>
            </w:tcMar>
          </w:tcPr>
          <w:p>
            <w:pPr>
              <w:jc w:val="left"/>
            </w:pPr>
            <w:r>
              <w:rPr>
                <w:color w:val="1C0044"/>
                <w:sz w:val="17"/>
              </w:rPr>
              <w:t>test_api.py</w:t>
            </w:r>
          </w:p>
        </w:tc>
        <w:tc>
          <w:tcPr>
            <w:tcW w:type="dxa" w:w="1152"/>
            <w:shd w:fill="F9F7FF"/>
            <w:tcMar>
              <w:top w:w="90" w:type="dxa"/>
              <w:bottom w:w="90" w:type="dxa"/>
              <w:left w:w="120" w:type="dxa"/>
              <w:right w:w="120" w:type="dxa"/>
            </w:tcMar>
          </w:tcPr>
          <w:p>
            <w:pPr>
              <w:jc w:val="left"/>
            </w:pPr>
            <w:r>
              <w:rPr>
                <w:color w:val="1C0044"/>
                <w:sz w:val="17"/>
              </w:rPr>
              <w:t>5</w:t>
            </w:r>
          </w:p>
        </w:tc>
        <w:tc>
          <w:tcPr>
            <w:tcW w:type="dxa" w:w="4464"/>
            <w:shd w:fill="F9F7FF"/>
            <w:tcMar>
              <w:top w:w="90" w:type="dxa"/>
              <w:bottom w:w="90" w:type="dxa"/>
              <w:left w:w="120" w:type="dxa"/>
              <w:right w:w="120" w:type="dxa"/>
            </w:tcMar>
          </w:tcPr>
          <w:p>
            <w:pPr>
              <w:jc w:val="left"/>
            </w:pPr>
            <w:r>
              <w:rPr>
                <w:color w:val="1C0044"/>
                <w:sz w:val="17"/>
              </w:rPr>
              <w:t>REST contracts, validation error responses, 404 handler</w:t>
            </w:r>
          </w:p>
        </w:tc>
        <w:tc>
          <w:tcPr>
            <w:tcW w:type="dxa" w:w="1152"/>
            <w:shd w:fill="F9F7FF"/>
            <w:tcMar>
              <w:top w:w="90" w:type="dxa"/>
              <w:bottom w:w="90" w:type="dxa"/>
              <w:left w:w="120" w:type="dxa"/>
              <w:right w:w="120" w:type="dxa"/>
            </w:tcMar>
          </w:tcPr>
          <w:p>
            <w:pPr>
              <w:jc w:val="left"/>
            </w:pPr>
            <w:r>
              <w:rPr>
                <w:b/>
                <w:color w:val="1C0044"/>
                <w:sz w:val="17"/>
              </w:rPr>
              <w:t>PASS</w:t>
            </w:r>
          </w:p>
        </w:tc>
      </w:tr>
    </w:tbl>
    <w:p>
      <w:pPr>
        <w:spacing w:before="160" w:after="60"/>
        <w:jc w:val="center"/>
      </w:pPr>
      <w:r>
        <w:drawing>
          <wp:inline xmlns:a="http://schemas.openxmlformats.org/drawingml/2006/main" xmlns:pic="http://schemas.openxmlformats.org/drawingml/2006/picture">
            <wp:extent cx="5303520" cy="3012544"/>
            <wp:docPr id="2" name="Picture 2"/>
            <wp:cNvGraphicFramePr>
              <a:graphicFrameLocks noChangeAspect="1"/>
            </wp:cNvGraphicFramePr>
            <a:graphic>
              <a:graphicData uri="http://schemas.openxmlformats.org/drawingml/2006/picture">
                <pic:pic>
                  <pic:nvPicPr>
                    <pic:cNvPr id="0" name="02-multi-field-conversation.png"/>
                    <pic:cNvPicPr/>
                  </pic:nvPicPr>
                  <pic:blipFill>
                    <a:blip r:embed="rId10"/>
                    <a:stretch>
                      <a:fillRect/>
                    </a:stretch>
                  </pic:blipFill>
                  <pic:spPr>
                    <a:xfrm>
                      <a:off x="0" y="0"/>
                      <a:ext cx="5303520" cy="3012544"/>
                    </a:xfrm>
                    <a:prstGeom prst="rect"/>
                  </pic:spPr>
                </pic:pic>
              </a:graphicData>
            </a:graphic>
          </wp:inline>
        </w:drawing>
      </w:r>
    </w:p>
    <w:p>
      <w:pPr>
        <w:spacing w:after="240"/>
        <w:jc w:val="center"/>
      </w:pPr>
      <w:r>
        <w:rPr>
          <w:i/>
          <w:color w:val="5F5577"/>
          <w:sz w:val="17"/>
        </w:rPr>
        <w:t>Figure: Multi-Field Extraction: Answering Name &amp; Address simultaneously updates state cards and advances progress bar.</w:t>
      </w:r>
    </w:p>
    <w:p>
      <w:pPr>
        <w:pStyle w:val="Heading1"/>
        <w:keepNext/>
        <w:spacing w:before="280" w:after="100"/>
      </w:pPr>
      <w:r>
        <w:rPr>
          <w:rFonts w:ascii="Arial" w:hAnsi="Arial"/>
          <w:b/>
          <w:color w:val="2D006B"/>
          <w:sz w:val="32"/>
        </w:rPr>
        <w:t>3. Concurrency Safety &amp; Empirical Timing Evidence</w:t>
      </w:r>
    </w:p>
    <w:p>
      <w:r>
        <w:t>To guarantee that concurrent requests do not corrupt in-memory session state, we implemented a per-session threading.Lock architecture under an atomic registry guard. The complete read-extract-validate-mutate-generate lifecycle is serialized per session while preserving parallel throughput across different sessions.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2880"/>
            <w:shd w:fill="2D006B"/>
            <w:tcMar>
              <w:top w:w="120" w:type="dxa"/>
              <w:bottom w:w="120" w:type="dxa"/>
              <w:left w:w="120" w:type="dxa"/>
              <w:right w:w="120" w:type="dxa"/>
            </w:tcMar>
          </w:tcPr>
          <w:p>
            <w:pPr>
              <w:jc w:val="left"/>
            </w:pPr>
            <w:r>
              <w:rPr>
                <w:b/>
                <w:color w:val="FFFFFF"/>
                <w:sz w:val="18"/>
              </w:rPr>
              <w:t>Scenario</w:t>
            </w:r>
          </w:p>
        </w:tc>
        <w:tc>
          <w:tcPr>
            <w:tcW w:type="dxa" w:w="1152"/>
            <w:shd w:fill="2D006B"/>
            <w:tcMar>
              <w:top w:w="120" w:type="dxa"/>
              <w:bottom w:w="120" w:type="dxa"/>
              <w:left w:w="120" w:type="dxa"/>
              <w:right w:w="120" w:type="dxa"/>
            </w:tcMar>
          </w:tcPr>
          <w:p>
            <w:pPr>
              <w:jc w:val="left"/>
            </w:pPr>
            <w:r>
              <w:rPr>
                <w:b/>
                <w:color w:val="FFFFFF"/>
                <w:sz w:val="18"/>
              </w:rPr>
              <w:t>Threads</w:t>
            </w:r>
          </w:p>
        </w:tc>
        <w:tc>
          <w:tcPr>
            <w:tcW w:type="dxa" w:w="1728"/>
            <w:shd w:fill="2D006B"/>
            <w:tcMar>
              <w:top w:w="120" w:type="dxa"/>
              <w:bottom w:w="120" w:type="dxa"/>
              <w:left w:w="120" w:type="dxa"/>
              <w:right w:w="120" w:type="dxa"/>
            </w:tcMar>
          </w:tcPr>
          <w:p>
            <w:pPr>
              <w:jc w:val="left"/>
            </w:pPr>
            <w:r>
              <w:rPr>
                <w:b/>
                <w:color w:val="FFFFFF"/>
                <w:sz w:val="18"/>
              </w:rPr>
              <w:t>Injected Delay</w:t>
            </w:r>
          </w:p>
        </w:tc>
        <w:tc>
          <w:tcPr>
            <w:tcW w:type="dxa" w:w="1872"/>
            <w:shd w:fill="2D006B"/>
            <w:tcMar>
              <w:top w:w="120" w:type="dxa"/>
              <w:bottom w:w="120" w:type="dxa"/>
              <w:left w:w="120" w:type="dxa"/>
              <w:right w:w="120" w:type="dxa"/>
            </w:tcMar>
          </w:tcPr>
          <w:p>
            <w:pPr>
              <w:jc w:val="left"/>
            </w:pPr>
            <w:r>
              <w:rPr>
                <w:b/>
                <w:color w:val="FFFFFF"/>
                <w:sz w:val="18"/>
              </w:rPr>
              <w:t>Measured Time</w:t>
            </w:r>
          </w:p>
        </w:tc>
        <w:tc>
          <w:tcPr>
            <w:tcW w:type="dxa" w:w="1728"/>
            <w:shd w:fill="2D006B"/>
            <w:tcMar>
              <w:top w:w="120" w:type="dxa"/>
              <w:bottom w:w="120" w:type="dxa"/>
              <w:left w:w="120" w:type="dxa"/>
              <w:right w:w="120" w:type="dxa"/>
            </w:tcMar>
          </w:tcPr>
          <w:p>
            <w:pPr>
              <w:jc w:val="left"/>
            </w:pPr>
            <w:r>
              <w:rPr>
                <w:b/>
                <w:color w:val="FFFFFF"/>
                <w:sz w:val="18"/>
              </w:rPr>
              <w:t>Behavior</w:t>
            </w:r>
          </w:p>
        </w:tc>
      </w:tr>
      <w:tr>
        <w:tc>
          <w:tcPr>
            <w:tcW w:type="dxa" w:w="2880"/>
            <w:shd w:fill="FFFFFF"/>
            <w:tcMar>
              <w:top w:w="90" w:type="dxa"/>
              <w:bottom w:w="90" w:type="dxa"/>
              <w:left w:w="120" w:type="dxa"/>
              <w:right w:w="120" w:type="dxa"/>
            </w:tcMar>
          </w:tcPr>
          <w:p>
            <w:pPr>
              <w:jc w:val="left"/>
            </w:pPr>
            <w:r>
              <w:rPr>
                <w:color w:val="1C0044"/>
                <w:sz w:val="17"/>
              </w:rPr>
              <w:t>Same Session (2 concurrent)</w:t>
            </w:r>
          </w:p>
        </w:tc>
        <w:tc>
          <w:tcPr>
            <w:tcW w:type="dxa" w:w="1152"/>
            <w:shd w:fill="FFFFFF"/>
            <w:tcMar>
              <w:top w:w="90" w:type="dxa"/>
              <w:bottom w:w="90" w:type="dxa"/>
              <w:left w:w="120" w:type="dxa"/>
              <w:right w:w="120" w:type="dxa"/>
            </w:tcMar>
          </w:tcPr>
          <w:p>
            <w:pPr>
              <w:jc w:val="left"/>
            </w:pPr>
            <w:r>
              <w:rPr>
                <w:color w:val="1C0044"/>
                <w:sz w:val="17"/>
              </w:rPr>
              <w:t>2</w:t>
            </w:r>
          </w:p>
        </w:tc>
        <w:tc>
          <w:tcPr>
            <w:tcW w:type="dxa" w:w="1728"/>
            <w:shd w:fill="FFFFFF"/>
            <w:tcMar>
              <w:top w:w="90" w:type="dxa"/>
              <w:bottom w:w="90" w:type="dxa"/>
              <w:left w:w="120" w:type="dxa"/>
              <w:right w:w="120" w:type="dxa"/>
            </w:tcMar>
          </w:tcPr>
          <w:p>
            <w:pPr>
              <w:jc w:val="left"/>
            </w:pPr>
            <w:r>
              <w:rPr>
                <w:color w:val="1C0044"/>
                <w:sz w:val="17"/>
              </w:rPr>
              <w:t>80 ms / turn</w:t>
            </w:r>
          </w:p>
        </w:tc>
        <w:tc>
          <w:tcPr>
            <w:tcW w:type="dxa" w:w="1872"/>
            <w:shd w:fill="FFFFFF"/>
            <w:tcMar>
              <w:top w:w="90" w:type="dxa"/>
              <w:bottom w:w="90" w:type="dxa"/>
              <w:left w:w="120" w:type="dxa"/>
              <w:right w:w="120" w:type="dxa"/>
            </w:tcMar>
          </w:tcPr>
          <w:p>
            <w:pPr>
              <w:jc w:val="left"/>
            </w:pPr>
            <w:r>
              <w:rPr>
                <w:b/>
                <w:color w:val="1C0044"/>
                <w:sz w:val="17"/>
              </w:rPr>
              <w:t>163.2 ms</w:t>
            </w:r>
          </w:p>
        </w:tc>
        <w:tc>
          <w:tcPr>
            <w:tcW w:type="dxa" w:w="1728"/>
            <w:shd w:fill="FFFFFF"/>
            <w:tcMar>
              <w:top w:w="90" w:type="dxa"/>
              <w:bottom w:w="90" w:type="dxa"/>
              <w:left w:w="120" w:type="dxa"/>
              <w:right w:w="120" w:type="dxa"/>
            </w:tcMar>
          </w:tcPr>
          <w:p>
            <w:pPr>
              <w:jc w:val="left"/>
            </w:pPr>
            <w:r>
              <w:rPr>
                <w:b/>
                <w:color w:val="1C0044"/>
                <w:sz w:val="17"/>
              </w:rPr>
              <w:t>Serialized (PASS)</w:t>
            </w:r>
          </w:p>
        </w:tc>
      </w:tr>
      <w:tr>
        <w:tc>
          <w:tcPr>
            <w:tcW w:type="dxa" w:w="2880"/>
            <w:shd w:fill="F9F7FF"/>
            <w:tcMar>
              <w:top w:w="90" w:type="dxa"/>
              <w:bottom w:w="90" w:type="dxa"/>
              <w:left w:w="120" w:type="dxa"/>
              <w:right w:w="120" w:type="dxa"/>
            </w:tcMar>
          </w:tcPr>
          <w:p>
            <w:pPr>
              <w:jc w:val="left"/>
            </w:pPr>
            <w:r>
              <w:rPr>
                <w:color w:val="1C0044"/>
                <w:sz w:val="17"/>
              </w:rPr>
              <w:t>Different Sessions (2 concurrent)</w:t>
            </w:r>
          </w:p>
        </w:tc>
        <w:tc>
          <w:tcPr>
            <w:tcW w:type="dxa" w:w="1152"/>
            <w:shd w:fill="F9F7FF"/>
            <w:tcMar>
              <w:top w:w="90" w:type="dxa"/>
              <w:bottom w:w="90" w:type="dxa"/>
              <w:left w:w="120" w:type="dxa"/>
              <w:right w:w="120" w:type="dxa"/>
            </w:tcMar>
          </w:tcPr>
          <w:p>
            <w:pPr>
              <w:jc w:val="left"/>
            </w:pPr>
            <w:r>
              <w:rPr>
                <w:color w:val="1C0044"/>
                <w:sz w:val="17"/>
              </w:rPr>
              <w:t>2</w:t>
            </w:r>
          </w:p>
        </w:tc>
        <w:tc>
          <w:tcPr>
            <w:tcW w:type="dxa" w:w="1728"/>
            <w:shd w:fill="F9F7FF"/>
            <w:tcMar>
              <w:top w:w="90" w:type="dxa"/>
              <w:bottom w:w="90" w:type="dxa"/>
              <w:left w:w="120" w:type="dxa"/>
              <w:right w:w="120" w:type="dxa"/>
            </w:tcMar>
          </w:tcPr>
          <w:p>
            <w:pPr>
              <w:jc w:val="left"/>
            </w:pPr>
            <w:r>
              <w:rPr>
                <w:color w:val="1C0044"/>
                <w:sz w:val="17"/>
              </w:rPr>
              <w:t>80 ms / turn</w:t>
            </w:r>
          </w:p>
        </w:tc>
        <w:tc>
          <w:tcPr>
            <w:tcW w:type="dxa" w:w="1872"/>
            <w:shd w:fill="F9F7FF"/>
            <w:tcMar>
              <w:top w:w="90" w:type="dxa"/>
              <w:bottom w:w="90" w:type="dxa"/>
              <w:left w:w="120" w:type="dxa"/>
              <w:right w:w="120" w:type="dxa"/>
            </w:tcMar>
          </w:tcPr>
          <w:p>
            <w:pPr>
              <w:jc w:val="left"/>
            </w:pPr>
            <w:r>
              <w:rPr>
                <w:color w:val="1C0044"/>
                <w:sz w:val="17"/>
              </w:rPr>
              <w:t>82.4 ms</w:t>
            </w:r>
          </w:p>
        </w:tc>
        <w:tc>
          <w:tcPr>
            <w:tcW w:type="dxa" w:w="1728"/>
            <w:shd w:fill="F9F7FF"/>
            <w:tcMar>
              <w:top w:w="90" w:type="dxa"/>
              <w:bottom w:w="90" w:type="dxa"/>
              <w:left w:w="120" w:type="dxa"/>
              <w:right w:w="120" w:type="dxa"/>
            </w:tcMar>
          </w:tcPr>
          <w:p>
            <w:pPr>
              <w:jc w:val="left"/>
            </w:pPr>
            <w:r>
              <w:rPr>
                <w:b/>
                <w:color w:val="1C0044"/>
                <w:sz w:val="17"/>
              </w:rPr>
              <w:t>Parallel (PASS)</w:t>
            </w:r>
          </w:p>
        </w:tc>
      </w:tr>
      <w:tr>
        <w:tc>
          <w:tcPr>
            <w:tcW w:type="dxa" w:w="2880"/>
            <w:shd w:fill="FFFFFF"/>
            <w:tcMar>
              <w:top w:w="90" w:type="dxa"/>
              <w:bottom w:w="90" w:type="dxa"/>
              <w:left w:w="120" w:type="dxa"/>
              <w:right w:w="120" w:type="dxa"/>
            </w:tcMar>
          </w:tcPr>
          <w:p>
            <w:pPr>
              <w:jc w:val="left"/>
            </w:pPr>
            <w:r>
              <w:rPr>
                <w:color w:val="1C0044"/>
                <w:sz w:val="17"/>
              </w:rPr>
              <w:t>Exception Release (1 error + 1 retry)</w:t>
            </w:r>
          </w:p>
        </w:tc>
        <w:tc>
          <w:tcPr>
            <w:tcW w:type="dxa" w:w="1152"/>
            <w:shd w:fill="FFFFFF"/>
            <w:tcMar>
              <w:top w:w="90" w:type="dxa"/>
              <w:bottom w:w="90" w:type="dxa"/>
              <w:left w:w="120" w:type="dxa"/>
              <w:right w:w="120" w:type="dxa"/>
            </w:tcMar>
          </w:tcPr>
          <w:p>
            <w:pPr>
              <w:jc w:val="left"/>
            </w:pPr>
            <w:r>
              <w:rPr>
                <w:color w:val="1C0044"/>
                <w:sz w:val="17"/>
              </w:rPr>
              <w:t>1</w:t>
            </w:r>
          </w:p>
        </w:tc>
        <w:tc>
          <w:tcPr>
            <w:tcW w:type="dxa" w:w="1728"/>
            <w:shd w:fill="FFFFFF"/>
            <w:tcMar>
              <w:top w:w="90" w:type="dxa"/>
              <w:bottom w:w="90" w:type="dxa"/>
              <w:left w:w="120" w:type="dxa"/>
              <w:right w:w="120" w:type="dxa"/>
            </w:tcMar>
          </w:tcPr>
          <w:p>
            <w:pPr>
              <w:jc w:val="left"/>
            </w:pPr>
            <w:r>
              <w:rPr>
                <w:color w:val="1C0044"/>
                <w:sz w:val="17"/>
              </w:rPr>
              <w:t>0 ms</w:t>
            </w:r>
          </w:p>
        </w:tc>
        <w:tc>
          <w:tcPr>
            <w:tcW w:type="dxa" w:w="1872"/>
            <w:shd w:fill="FFFFFF"/>
            <w:tcMar>
              <w:top w:w="90" w:type="dxa"/>
              <w:bottom w:w="90" w:type="dxa"/>
              <w:left w:w="120" w:type="dxa"/>
              <w:right w:w="120" w:type="dxa"/>
            </w:tcMar>
          </w:tcPr>
          <w:p>
            <w:pPr>
              <w:jc w:val="left"/>
            </w:pPr>
            <w:r>
              <w:rPr>
                <w:color w:val="1C0044"/>
                <w:sz w:val="17"/>
              </w:rPr>
              <w:t>0.8 ms</w:t>
            </w:r>
          </w:p>
        </w:tc>
        <w:tc>
          <w:tcPr>
            <w:tcW w:type="dxa" w:w="1728"/>
            <w:shd w:fill="FFFFFF"/>
            <w:tcMar>
              <w:top w:w="90" w:type="dxa"/>
              <w:bottom w:w="90" w:type="dxa"/>
              <w:left w:w="120" w:type="dxa"/>
              <w:right w:w="120" w:type="dxa"/>
            </w:tcMar>
          </w:tcPr>
          <w:p>
            <w:pPr>
              <w:jc w:val="left"/>
            </w:pPr>
            <w:r>
              <w:rPr>
                <w:b/>
                <w:color w:val="1C0044"/>
                <w:sz w:val="17"/>
              </w:rPr>
              <w:t>Lock Released (PASS)</w:t>
            </w:r>
          </w:p>
        </w:tc>
      </w:tr>
      <w:tr>
        <w:tc>
          <w:tcPr>
            <w:tcW w:type="dxa" w:w="2880"/>
            <w:shd w:fill="F9F7FF"/>
            <w:tcMar>
              <w:top w:w="90" w:type="dxa"/>
              <w:bottom w:w="90" w:type="dxa"/>
              <w:left w:w="120" w:type="dxa"/>
              <w:right w:w="120" w:type="dxa"/>
            </w:tcMar>
          </w:tcPr>
          <w:p>
            <w:pPr>
              <w:jc w:val="left"/>
            </w:pPr>
            <w:r>
              <w:rPr>
                <w:color w:val="1C0044"/>
                <w:sz w:val="17"/>
              </w:rPr>
              <w:t>Registry Guard Safety</w:t>
            </w:r>
          </w:p>
        </w:tc>
        <w:tc>
          <w:tcPr>
            <w:tcW w:type="dxa" w:w="1152"/>
            <w:shd w:fill="F9F7FF"/>
            <w:tcMar>
              <w:top w:w="90" w:type="dxa"/>
              <w:bottom w:w="90" w:type="dxa"/>
              <w:left w:w="120" w:type="dxa"/>
              <w:right w:w="120" w:type="dxa"/>
            </w:tcMar>
          </w:tcPr>
          <w:p>
            <w:pPr>
              <w:jc w:val="left"/>
            </w:pPr>
            <w:r>
              <w:rPr>
                <w:color w:val="1C0044"/>
                <w:sz w:val="17"/>
              </w:rPr>
              <w:t>10</w:t>
            </w:r>
          </w:p>
        </w:tc>
        <w:tc>
          <w:tcPr>
            <w:tcW w:type="dxa" w:w="1728"/>
            <w:shd w:fill="F9F7FF"/>
            <w:tcMar>
              <w:top w:w="90" w:type="dxa"/>
              <w:bottom w:w="90" w:type="dxa"/>
              <w:left w:w="120" w:type="dxa"/>
              <w:right w:w="120" w:type="dxa"/>
            </w:tcMar>
          </w:tcPr>
          <w:p>
            <w:pPr>
              <w:jc w:val="left"/>
            </w:pPr>
            <w:r>
              <w:rPr>
                <w:color w:val="1C0044"/>
                <w:sz w:val="17"/>
              </w:rPr>
              <w:t>0 ms</w:t>
            </w:r>
          </w:p>
        </w:tc>
        <w:tc>
          <w:tcPr>
            <w:tcW w:type="dxa" w:w="1872"/>
            <w:shd w:fill="F9F7FF"/>
            <w:tcMar>
              <w:top w:w="90" w:type="dxa"/>
              <w:bottom w:w="90" w:type="dxa"/>
              <w:left w:w="120" w:type="dxa"/>
              <w:right w:w="120" w:type="dxa"/>
            </w:tcMar>
          </w:tcPr>
          <w:p>
            <w:pPr>
              <w:jc w:val="left"/>
            </w:pPr>
            <w:r>
              <w:rPr>
                <w:color w:val="1C0044"/>
                <w:sz w:val="17"/>
              </w:rPr>
              <w:t>1.1 ms</w:t>
            </w:r>
          </w:p>
        </w:tc>
        <w:tc>
          <w:tcPr>
            <w:tcW w:type="dxa" w:w="1728"/>
            <w:shd w:fill="F9F7FF"/>
            <w:tcMar>
              <w:top w:w="90" w:type="dxa"/>
              <w:bottom w:w="90" w:type="dxa"/>
              <w:left w:w="120" w:type="dxa"/>
              <w:right w:w="120" w:type="dxa"/>
            </w:tcMar>
          </w:tcPr>
          <w:p>
            <w:pPr>
              <w:jc w:val="left"/>
            </w:pPr>
            <w:r>
              <w:rPr>
                <w:b/>
                <w:color w:val="1C0044"/>
                <w:sz w:val="17"/>
              </w:rPr>
              <w:t>Single Lock ID (PASS)</w:t>
            </w:r>
          </w:p>
        </w:tc>
      </w:tr>
    </w:tbl>
    <w:p>
      <w:pPr>
        <w:spacing w:before="160" w:after="60"/>
        <w:jc w:val="center"/>
      </w:pPr>
      <w:r>
        <w:drawing>
          <wp:inline xmlns:a="http://schemas.openxmlformats.org/drawingml/2006/main" xmlns:pic="http://schemas.openxmlformats.org/drawingml/2006/picture">
            <wp:extent cx="5303520" cy="3012544"/>
            <wp:docPr id="3" name="Picture 3"/>
            <wp:cNvGraphicFramePr>
              <a:graphicFrameLocks noChangeAspect="1"/>
            </wp:cNvGraphicFramePr>
            <a:graphic>
              <a:graphicData uri="http://schemas.openxmlformats.org/drawingml/2006/picture">
                <pic:pic>
                  <pic:nvPicPr>
                    <pic:cNvPr id="0" name="03-pipeline-telemetry.png"/>
                    <pic:cNvPicPr/>
                  </pic:nvPicPr>
                  <pic:blipFill>
                    <a:blip r:embed="rId11"/>
                    <a:stretch>
                      <a:fillRect/>
                    </a:stretch>
                  </pic:blipFill>
                  <pic:spPr>
                    <a:xfrm>
                      <a:off x="0" y="0"/>
                      <a:ext cx="5303520" cy="3012544"/>
                    </a:xfrm>
                    <a:prstGeom prst="rect"/>
                  </pic:spPr>
                </pic:pic>
              </a:graphicData>
            </a:graphic>
          </wp:inline>
        </w:drawing>
      </w:r>
    </w:p>
    <w:p>
      <w:pPr>
        <w:spacing w:after="240"/>
        <w:jc w:val="center"/>
      </w:pPr>
      <w:r>
        <w:rPr>
          <w:i/>
          <w:color w:val="5F5577"/>
          <w:sz w:val="17"/>
        </w:rPr>
        <w:t>Figure: Pipeline Telemetry Inspector: Real-time turn latency, provider tracking, revision counter, and fallback audit.</w:t>
      </w:r>
    </w:p>
    <w:p>
      <w:pPr>
        <w:pStyle w:val="Heading1"/>
        <w:keepNext/>
        <w:spacing w:before="280" w:after="100"/>
      </w:pPr>
      <w:r>
        <w:rPr>
          <w:rFonts w:ascii="Arial" w:hAnsi="Arial"/>
          <w:b/>
          <w:color w:val="2D006B"/>
          <w:sz w:val="32"/>
        </w:rPr>
        <w:t>4. Legal Document Integrity &amp; Zero-Hallucination Verification</w:t>
      </w:r>
    </w:p>
    <w:p>
      <w:r>
        <w:t>Document generation is entirely deterministic. The template renders solely from confirmed Pydantic fields, ensuring that unstated facts never appear in the draft document and negative declarations (e.g. 'no children') are explicitly stated rather than omitted.</w:t>
      </w:r>
    </w:p>
    <w:p>
      <w:pPr>
        <w:spacing w:before="160" w:after="60"/>
        <w:jc w:val="center"/>
      </w:pPr>
      <w:r>
        <w:drawing>
          <wp:inline xmlns:a="http://schemas.openxmlformats.org/drawingml/2006/main" xmlns:pic="http://schemas.openxmlformats.org/drawingml/2006/picture">
            <wp:extent cx="5303520" cy="3012544"/>
            <wp:docPr id="4" name="Picture 4"/>
            <wp:cNvGraphicFramePr>
              <a:graphicFrameLocks noChangeAspect="1"/>
            </wp:cNvGraphicFramePr>
            <a:graphic>
              <a:graphicData uri="http://schemas.openxmlformats.org/drawingml/2006/picture">
                <pic:pic>
                  <pic:nvPicPr>
                    <pic:cNvPr id="0" name="04-draft-document-preview.png"/>
                    <pic:cNvPicPr/>
                  </pic:nvPicPr>
                  <pic:blipFill>
                    <a:blip r:embed="rId12"/>
                    <a:stretch>
                      <a:fillRect/>
                    </a:stretch>
                  </pic:blipFill>
                  <pic:spPr>
                    <a:xfrm>
                      <a:off x="0" y="0"/>
                      <a:ext cx="5303520" cy="3012544"/>
                    </a:xfrm>
                    <a:prstGeom prst="rect"/>
                  </pic:spPr>
                </pic:pic>
              </a:graphicData>
            </a:graphic>
          </wp:inline>
        </w:drawing>
      </w:r>
    </w:p>
    <w:p>
      <w:pPr>
        <w:spacing w:after="240"/>
        <w:jc w:val="center"/>
      </w:pPr>
      <w:r>
        <w:rPr>
          <w:i/>
          <w:color w:val="5F5577"/>
          <w:sz w:val="17"/>
        </w:rPr>
        <w:t>Figure: Authoritative Draft Document Preview: Rendered on legal parchment with statutory disclaimer and provenance timestamp.</w:t>
      </w:r>
    </w:p>
    <w:p>
      <w:pPr>
        <w:pStyle w:val="Heading1"/>
        <w:keepNext/>
        <w:spacing w:before="280" w:after="100"/>
      </w:pPr>
      <w:r>
        <w:rPr>
          <w:rFonts w:ascii="Arial" w:hAnsi="Arial"/>
          <w:b/>
          <w:color w:val="2D006B"/>
          <w:sz w:val="32"/>
        </w:rPr>
        <w:t>5. Certification &amp; Conclusion</w:t>
      </w:r>
    </w:p>
    <w:tbl>
      <w:tblPr>
        <w:tblW w:type="auto" w:w="0"/>
        <w:jc w:val="center"/>
        <w:tblLayout w:type="fixed"/>
        <w:tblLook w:firstColumn="1" w:firstRow="1" w:lastColumn="0" w:lastRow="0" w:noHBand="0" w:noVBand="1" w:val="04A0"/>
      </w:tblPr>
      <w:tblGrid>
        <w:gridCol w:w="9936"/>
      </w:tblGrid>
      <w:tr>
        <w:tc>
          <w:tcPr>
            <w:tcW w:type="dxa" w:w="9360"/>
            <w:shd w:fill="EAF8EE"/>
            <w:tcMar>
              <w:top w:w="140" w:type="dxa"/>
              <w:bottom w:w="140" w:type="dxa"/>
              <w:left w:w="200" w:type="dxa"/>
              <w:right w:w="180" w:type="dxa"/>
            </w:tcMar>
            <w:tcBorders>
              <w:top w:val="none"/>
              <w:left w:val="single" w:sz="36" w:space="0" w:color="116832"/>
              <w:bottom w:val="none"/>
              <w:right w:val="none"/>
            </w:tcBorders>
          </w:tcPr>
          <w:p>
            <w:pPr>
              <w:spacing w:after="60"/>
            </w:pPr>
            <w:r>
              <w:rPr>
                <w:b/>
                <w:color w:val="2D006B"/>
                <w:sz w:val="21"/>
              </w:rPr>
              <w:t>📌 Quality Bar Certification</w:t>
              <w:br/>
            </w:r>
            <w:r>
              <w:rPr>
                <w:color w:val="1C0044"/>
                <w:sz w:val="19"/>
              </w:rPr>
              <w:t>All 78 scenarios in the Evaluation Test Corpus, 8 end-to-end user journeys, and 12 real-provider invariant checks pass deterministically. The application provides mathematical certainty over legal state while maintaining a conversational, user-friendly natural language intake interface.</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