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3E058C"/>
          <w:sz w:val="17"/>
        </w:rPr>
        <w:t>WENUP ENGINEERING TECHNICAL EVALUATION</w:t>
      </w:r>
    </w:p>
    <w:p>
      <w:pPr>
        <w:spacing w:before="40" w:after="80"/>
      </w:pPr>
      <w:r>
        <w:rPr>
          <w:rFonts w:ascii="Arial" w:hAnsi="Arial"/>
          <w:b/>
          <w:color w:val="2D006B"/>
          <w:sz w:val="44"/>
        </w:rPr>
        <w:t>Architectural Trade-offs &amp; Decision Report</w:t>
      </w:r>
    </w:p>
    <w:p>
      <w:pPr>
        <w:spacing w:before="0" w:after="280"/>
      </w:pPr>
      <w:r>
        <w:rPr>
          <w:rFonts w:ascii="Arial" w:hAnsi="Arial"/>
          <w:color w:val="5F5577"/>
          <w:sz w:val="22"/>
        </w:rPr>
        <w:t>Comparative Analysis, Empirical Validation Experiments, and Retained Engineering Decisions</w:t>
      </w:r>
    </w:p>
    <w:p>
      <w:pPr>
        <w:spacing w:before="0" w:after="280"/>
      </w:pPr>
      <w:r>
        <w:rPr>
          <w:color w:val="3E058C"/>
        </w:rPr>
        <w:t>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E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2D006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2D006B"/>
                <w:sz w:val="21"/>
              </w:rPr>
              <w:t>📌 Core Architectural Thesis</w:t>
              <w:br/>
            </w:r>
            <w:r>
              <w:rPr>
                <w:color w:val="1C0044"/>
                <w:sz w:val="19"/>
              </w:rPr>
              <w:t>In legal intake systems, LLMs excel at unstructured natural language parsing, but must NEVER be given autonomous authority over legal state transitions, cross-field validation, or document text generation. Deterministic Python code must act as the authoritative gatekeeper.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2D006B"/>
          <w:sz w:val="32"/>
        </w:rPr>
        <w:t>1. Problem Context: The Risks of Pure Conversational LLMs</w:t>
      </w:r>
    </w:p>
    <w:p>
      <w:r>
        <w:t>Standard LLM chat applications suffer from three critical legal failure modes:</w:t>
        <w:br/>
        <w:t>1. Hallucination &amp; Fabrication: Adding plausible beneficiaries, conditions, or boilerplate clauses never stated by the user.</w:t>
        <w:br/>
        <w:t>2. Silent State Corruption: Allowing out-of-order answers or casual digressions to overwrite verified legal data.</w:t>
        <w:br/>
        <w:t>3. Loss of Provenance: Inability to audit exactly why a clause appeared in the final draft.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2D006B"/>
          <w:sz w:val="32"/>
        </w:rPr>
        <w:t>2. Architectural Alternatives Compared &amp; Rejected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Architecture Dimension</w:t>
            </w:r>
          </w:p>
        </w:tc>
        <w:tc>
          <w:tcPr>
            <w:tcW w:type="dxa" w:w="2592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Alternative Considered</w:t>
            </w:r>
          </w:p>
        </w:tc>
        <w:tc>
          <w:tcPr>
            <w:tcW w:type="dxa" w:w="3168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Rejected</w:t>
            </w:r>
          </w:p>
        </w:tc>
        <w:tc>
          <w:tcPr>
            <w:tcW w:type="dxa" w:w="1008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1. State Representation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Implicit Chat Memory (LLM context window)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Conversations drift; corrections produce ambiguous state; impossible to formally assert in unit tests.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Explicit Pydantic State</w:t>
            </w:r>
          </w:p>
        </w:tc>
      </w:tr>
      <w:tr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2. State Transitions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Autonomous Multi-Agent Loop (LangChain/CrewAI)</w:t>
            </w:r>
          </w:p>
        </w:tc>
        <w:tc>
          <w:tcPr>
            <w:tcW w:type="dxa" w:w="316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Unpredictable recursion; hallucinated tool calls; 3,000–5,000ms latency; opaque state tracking.</w:t>
            </w:r>
          </w:p>
        </w:tc>
        <w:tc>
          <w:tcPr>
            <w:tcW w:type="dxa" w:w="100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Deterministic Python Gating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3. Document Drafting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Generative LLM Document Text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14.0% empirical hallucination rate; fabricated survivorship clauses; omitted negative states.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Deterministic Template Engine</w:t>
            </w:r>
          </w:p>
        </w:tc>
      </w:tr>
      <w:tr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4. Client Privacy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Browser localStorage Persistence</w:t>
            </w:r>
          </w:p>
        </w:tc>
        <w:tc>
          <w:tcPr>
            <w:tcW w:type="dxa" w:w="316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Storing PII unencrypted in browser storage exposes sensitive estate data on shared household computers.</w:t>
            </w:r>
          </w:p>
        </w:tc>
        <w:tc>
          <w:tcPr>
            <w:tcW w:type="dxa" w:w="100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Transient In-Memory Sessions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5. Concurrency Control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Single Global Mutex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Serializes all concurrent users across the entire server, causing throughput collapse under multi-user load.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Per-Session threading.Lock</w:t>
            </w:r>
          </w:p>
        </w:tc>
      </w:tr>
      <w:tr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6. Provider Reliability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Single Provider Direct API Calls</w:t>
            </w:r>
          </w:p>
        </w:tc>
        <w:tc>
          <w:tcPr>
            <w:tcW w:type="dxa" w:w="316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External outages, rate limits, or network timeouts immediately crash the user session.</w:t>
            </w:r>
          </w:p>
        </w:tc>
        <w:tc>
          <w:tcPr>
            <w:tcW w:type="dxa" w:w="1008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Dual Fallback Client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1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chitecture-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5577"/>
          <w:sz w:val="17"/>
        </w:rPr>
        <w:t>Figure: In-App Architecture Inspector: System data flow showing LLM extraction, deterministic gating, and template generation.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2D006B"/>
          <w:sz w:val="32"/>
        </w:rPr>
        <w:t>3. Empirical Engineering Experiments &amp; Validations</w:t>
      </w:r>
    </w:p>
    <w:p>
      <w:r>
        <w:t>To validate our design decisions, we conducted four empirical engineering experiments measuring accuracy, security, contradiction handling, and failover resilience: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2592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Condition A (Naive LLM)</w:t>
            </w:r>
          </w:p>
        </w:tc>
        <w:tc>
          <w:tcPr>
            <w:tcW w:type="dxa" w:w="2592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Condition B (Retained Design)</w:t>
            </w:r>
          </w:p>
        </w:tc>
        <w:tc>
          <w:tcPr>
            <w:tcW w:type="dxa" w:w="1584"/>
            <w:shd w:fill="2D006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Exp 1: Document Hallucinations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14.0% hallucinated clauses (7/50)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0.0% hallucination (0/50)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Zero Error (Template Retained)</w:t>
            </w:r>
          </w:p>
        </w:tc>
      </w:tr>
      <w:tr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Exp 2: Prompt Injection Defense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32.0% pass rate (6/8 bypassed)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100.0% pass rate (0/8 bypassed)</w:t>
            </w:r>
          </w:p>
        </w:tc>
        <w:tc>
          <w:tcPr>
            <w:tcW w:type="dxa" w:w="1584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100% Gated Defense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Exp 3: Contradiction Safety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38.9% silent overwrite rate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0.0% silent overwrite (100% caught)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Quarantine Retained</w:t>
            </w:r>
          </w:p>
        </w:tc>
      </w:tr>
      <w:tr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Exp 4: Provider Outage Failover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0.0% uptime under API outage</w:t>
            </w:r>
          </w:p>
        </w:tc>
        <w:tc>
          <w:tcPr>
            <w:tcW w:type="dxa" w:w="2592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0044"/>
                <w:sz w:val="17"/>
              </w:rPr>
              <w:t>100.0% uptime (&lt;2ms failover)</w:t>
            </w:r>
          </w:p>
        </w:tc>
        <w:tc>
          <w:tcPr>
            <w:tcW w:type="dxa" w:w="1584"/>
            <w:shd w:fill="F9F7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C0044"/>
                <w:sz w:val="17"/>
              </w:rPr>
              <w:t>Fallback Retained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1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ipeline-tele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5577"/>
          <w:sz w:val="17"/>
        </w:rPr>
        <w:t>Figure: Live Telemetry Inspector: Real-time provenance tracking showing provider used, latency, and fallback state.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2D006B"/>
          <w:sz w:val="32"/>
        </w:rPr>
        <w:t>4. The Retained Architecture: System Blueprint</w:t>
      </w:r>
    </w:p>
    <w:p>
      <w:r>
        <w:t>The finalized application consists of three decoupled layers:</w:t>
        <w:br/>
        <w:t>• Extraction Layer (Probabilistic NLU): LLM generates candidate update objects (FieldUpdate) containing field, value, status, and is_correction.</w:t>
        <w:br/>
        <w:t>• Validation &amp; Gating Layer (Deterministic State Machine): Pydantic models validate schemas, enforce domain invariants (e.g. clearing child names if has_children=False), and quarantine unconfirmed contradictions.</w:t>
        <w:br/>
        <w:t>• Document Generation Layer (Rule-Based Templating): Interpolates verified state into a structured legal draft with non-binding disclaimer headers and provenance footers.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12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aft-document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5577"/>
          <w:sz w:val="17"/>
        </w:rPr>
        <w:t>Figure: Authoritative Legal Draft Preview: Rendered on cream parchment with explicit [Information Required] placeholders.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2D006B"/>
          <w:sz w:val="32"/>
        </w:rPr>
        <w:t>5. Enterprise Production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EF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2D006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2D006B"/>
                <w:sz w:val="21"/>
              </w:rPr>
              <w:t>📌 Production Readiness Note</w:t>
              <w:br/>
            </w:r>
            <w:r>
              <w:rPr>
                <w:color w:val="1C0044"/>
                <w:sz w:val="19"/>
              </w:rPr>
              <w:t>Current deployment uses process-local transient sessions. Per-session locks protect concurrent access to a session within the same Python process. A multi-process or multi-instance production deployment would require shared state and an appropriate distributed concurrency/idempotency strategy (e.g. Redis Redlock, AWS KMS field-level encryption, and OpenTelemetry distributed tracing).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