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>SensorDB SQL Tables to Digital Biomarker Feature Models</w:t>
      </w:r>
    </w:p>
    <w:p>
      <w:r>
        <w:t>Infographic generated from current NeuroTrax-SensorDB CAVIA project outputs.</w:t>
      </w:r>
    </w:p>
    <w:p>
      <w:r>
        <w:drawing>
          <wp:inline distT="0" distB="0" distL="0" distR="0">
            <wp:extent cx="6492240" cy="7485170"/>
            <wp:effectExtent l="0" t="0" r="0" b="0"/>
            <wp:docPr id="1" name="SQL tables infographi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_tables_to_feature_models_infographic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48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
</file>