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0"/>
      </w:pPr>
      <w:r>
        <w:rPr>
          <w:rFonts w:ascii="Arial" w:hAnsi="Arial" w:cs="Arial"/>
          <w:sz w:val="48"/>
          <w:sz-cs w:val="48"/>
          <w:b/>
          <w:spacing w:val="0"/>
          <w:color w:val="18202B"/>
        </w:rPr>
        <w:t xml:space="preserve">Executive Function: Longitudinal Keyboard Findings</w:t>
      </w:r>
    </w:p>
    <w:p>
      <w:pPr>
        <w:spacing w:after="140"/>
      </w:pPr>
      <w:r>
        <w:rPr>
          <w:rFonts w:ascii="Arial" w:hAnsi="Arial" w:cs="Arial"/>
          <w:sz w:val="23"/>
          <w:sz-cs w:val="23"/>
          <w:spacing w:val="0"/>
          <w:color w:val="414F60"/>
        </w:rPr>
        <w:t xml:space="preserve">Focused statistical results summary | 31 October 2026</w:t>
      </w:r>
      <w:r>
        <w:rPr>
          <w:rFonts w:ascii="Arial" w:hAnsi="Arial" w:cs="Arial"/>
          <w:sz w:val="28"/>
          <w:sz-cs w:val="28"/>
          <w:spacing w:val="0"/>
          <w:color w:val="18202B"/>
        </w:rPr>
        <w:t xml:space="preserve"/>
      </w:r>
    </w:p>
    <w:p>
      <w:pPr>
        <w:spacing w:after="140"/>
      </w:pPr>
      <w:r>
        <w:rPr>
          <w:rFonts w:ascii="Arial" w:hAnsi="Arial" w:cs="Arial"/>
          <w:sz w:val="28"/>
          <w:sz-cs w:val="28"/>
          <w:spacing w:val="0"/>
          <w:color w:val="18202B"/>
        </w:rPr>
        <w:t xml:space="preserve">We examined whether within-person changes in passive smartphone keyboard timing measures were associated with changes in NeuroTrax Executive Function (T2 − T1). Across the complete set of 34 original keyboard hypotheses for this cognitive domain, five associations met Benjamini–Hochberg false discovery rate (BH-FDR) q &lt; 0.05.</w:t>
      </w:r>
    </w:p>
    <w:p>
      <w:pPr>
        <w:spacing w:after="140"/>
      </w:pPr>
      <w:r>
        <w:rPr>
          <w:rFonts w:ascii="Arial" w:hAnsi="Arial" w:cs="Arial"/>
          <w:sz w:val="32"/>
          <w:sz-cs w:val="32"/>
          <w:b/>
          <w:spacing w:val="0"/>
          <w:color w:val="18202B"/>
        </w:rPr>
        <w:t xml:space="preserve">Statistically significant domain-specific findings</w:t>
      </w:r>
    </w:p>
    <w:p>
      <w:pPr/>
      <w:r>
        <w:rPr>
          <w:rFonts w:ascii="Arial" w:hAnsi="Arial" w:cs="Arial"/>
          <w:sz w:val="24"/>
          <w:sz-cs w:val="24"/>
          <w:b/>
          <w:spacing w:val="0"/>
          <w:color w:val="18202B"/>
        </w:rPr>
        <w:t xml:space="preserve">Keyboard-derived feature</w:t>
      </w:r>
    </w:p>
    <w:p>
      <w:pPr/>
      <w:r>
        <w:rPr>
          <w:rFonts w:ascii="Arial" w:hAnsi="Arial" w:cs="Arial"/>
          <w:sz w:val="24"/>
          <w:sz-cs w:val="24"/>
          <w:b/>
          <w:spacing w:val="0"/>
          <w:color w:val="18202B"/>
        </w:rPr>
        <w:t xml:space="preserve">Spearman ρ</w:t>
      </w:r>
    </w:p>
    <w:p>
      <w:pPr/>
      <w:r>
        <w:rPr>
          <w:rFonts w:ascii="Arial" w:hAnsi="Arial" w:cs="Arial"/>
          <w:sz w:val="24"/>
          <w:sz-cs w:val="24"/>
          <w:b/>
          <w:spacing w:val="0"/>
          <w:color w:val="18202B"/>
        </w:rPr>
        <w:t xml:space="preserve">n</w:t>
      </w:r>
    </w:p>
    <w:p>
      <w:pPr/>
      <w:r>
        <w:rPr>
          <w:rFonts w:ascii="Arial" w:hAnsi="Arial" w:cs="Arial"/>
          <w:sz w:val="24"/>
          <w:sz-cs w:val="24"/>
          <w:b/>
          <w:spacing w:val="0"/>
          <w:color w:val="18202B"/>
        </w:rPr>
        <w:t xml:space="preserve">p-value</w:t>
      </w:r>
    </w:p>
    <w:p>
      <w:pPr/>
      <w:r>
        <w:rPr>
          <w:rFonts w:ascii="Arial" w:hAnsi="Arial" w:cs="Arial"/>
          <w:sz w:val="24"/>
          <w:sz-cs w:val="24"/>
          <w:b/>
          <w:spacing w:val="0"/>
          <w:color w:val="18202B"/>
        </w:rPr>
        <w:t xml:space="preserve">BH-FDR q</w:t>
      </w:r>
    </w:p>
    <w:p>
      <w:pPr/>
      <w:r>
        <w:rPr>
          <w:rFonts w:ascii="Arial" w:hAnsi="Arial" w:cs="Arial"/>
          <w:sz w:val="24"/>
          <w:sz-cs w:val="24"/>
          <w:spacing w:val="0"/>
          <w:color w:val="18202B"/>
        </w:rPr>
        <w:t xml:space="preserve">Correction-recovery time change</w:t>
      </w:r>
    </w:p>
    <w:p>
      <w:pPr/>
      <w:r>
        <w:rPr>
          <w:rFonts w:ascii="Arial" w:hAnsi="Arial" w:cs="Arial"/>
          <w:sz w:val="24"/>
          <w:sz-cs w:val="24"/>
          <w:spacing w:val="0"/>
          <w:color w:val="18202B"/>
        </w:rPr>
        <w:t xml:space="preserve">−0.589</w:t>
      </w:r>
    </w:p>
    <w:p>
      <w:pPr/>
      <w:r>
        <w:rPr>
          <w:rFonts w:ascii="Arial" w:hAnsi="Arial" w:cs="Arial"/>
          <w:sz w:val="24"/>
          <w:sz-cs w:val="24"/>
          <w:spacing w:val="0"/>
          <w:color w:val="18202B"/>
        </w:rPr>
        <w:t xml:space="preserve">32</w:t>
      </w:r>
    </w:p>
    <w:p>
      <w:pPr/>
      <w:r>
        <w:rPr>
          <w:rFonts w:ascii="Arial" w:hAnsi="Arial" w:cs="Arial"/>
          <w:sz w:val="24"/>
          <w:sz-cs w:val="24"/>
          <w:spacing w:val="0"/>
          <w:color w:val="18202B"/>
        </w:rPr>
        <w:t xml:space="preserve">0.000394</w:t>
      </w:r>
    </w:p>
    <w:p>
      <w:pPr/>
      <w:r>
        <w:rPr>
          <w:rFonts w:ascii="Arial" w:hAnsi="Arial" w:cs="Arial"/>
          <w:sz w:val="24"/>
          <w:sz-cs w:val="24"/>
          <w:spacing w:val="0"/>
          <w:color w:val="18202B"/>
        </w:rPr>
        <w:t xml:space="preserve">0.0134</w:t>
      </w:r>
    </w:p>
    <w:p>
      <w:pPr/>
      <w:r>
        <w:rPr>
          <w:rFonts w:ascii="Arial" w:hAnsi="Arial" w:cs="Arial"/>
          <w:sz w:val="24"/>
          <w:sz-cs w:val="24"/>
          <w:spacing w:val="0"/>
          <w:color w:val="18202B"/>
        </w:rPr>
        <w:t xml:space="preserve">Afternoon (12:00–18:00) snapshot interval change</w:t>
      </w:r>
    </w:p>
    <w:p>
      <w:pPr/>
      <w:r>
        <w:rPr>
          <w:rFonts w:ascii="Arial" w:hAnsi="Arial" w:cs="Arial"/>
          <w:sz w:val="24"/>
          <w:sz-cs w:val="24"/>
          <w:spacing w:val="0"/>
          <w:color w:val="18202B"/>
        </w:rPr>
        <w:t xml:space="preserve">+0.593</w:t>
      </w:r>
    </w:p>
    <w:p>
      <w:pPr/>
      <w:r>
        <w:rPr>
          <w:rFonts w:ascii="Arial" w:hAnsi="Arial" w:cs="Arial"/>
          <w:sz w:val="24"/>
          <w:sz-cs w:val="24"/>
          <w:spacing w:val="0"/>
          <w:color w:val="18202B"/>
        </w:rPr>
        <w:t xml:space="preserve">28</w:t>
      </w:r>
    </w:p>
    <w:p>
      <w:pPr/>
      <w:r>
        <w:rPr>
          <w:rFonts w:ascii="Arial" w:hAnsi="Arial" w:cs="Arial"/>
          <w:sz w:val="24"/>
          <w:sz-cs w:val="24"/>
          <w:spacing w:val="0"/>
          <w:color w:val="18202B"/>
        </w:rPr>
        <w:t xml:space="preserve">0.000885</w:t>
      </w:r>
    </w:p>
    <w:p>
      <w:pPr/>
      <w:r>
        <w:rPr>
          <w:rFonts w:ascii="Arial" w:hAnsi="Arial" w:cs="Arial"/>
          <w:sz w:val="24"/>
          <w:sz-cs w:val="24"/>
          <w:spacing w:val="0"/>
          <w:color w:val="18202B"/>
        </w:rPr>
        <w:t xml:space="preserve">0.0151</w:t>
      </w:r>
    </w:p>
    <w:p>
      <w:pPr/>
      <w:r>
        <w:rPr>
          <w:rFonts w:ascii="Arial" w:hAnsi="Arial" w:cs="Arial"/>
          <w:sz w:val="24"/>
          <w:sz-cs w:val="24"/>
          <w:spacing w:val="0"/>
          <w:color w:val="18202B"/>
        </w:rPr>
        <w:t xml:space="preserve">Snapshot inter-event interval CV change</w:t>
      </w:r>
    </w:p>
    <w:p>
      <w:pPr/>
      <w:r>
        <w:rPr>
          <w:rFonts w:ascii="Arial" w:hAnsi="Arial" w:cs="Arial"/>
          <w:sz w:val="24"/>
          <w:sz-cs w:val="24"/>
          <w:spacing w:val="0"/>
          <w:color w:val="18202B"/>
        </w:rPr>
        <w:t xml:space="preserve">−0.513</w:t>
      </w:r>
    </w:p>
    <w:p>
      <w:pPr/>
      <w:r>
        <w:rPr>
          <w:rFonts w:ascii="Arial" w:hAnsi="Arial" w:cs="Arial"/>
          <w:sz w:val="24"/>
          <w:sz-cs w:val="24"/>
          <w:spacing w:val="0"/>
          <w:color w:val="18202B"/>
        </w:rPr>
        <w:t xml:space="preserve">33</w:t>
      </w:r>
    </w:p>
    <w:p>
      <w:pPr/>
      <w:r>
        <w:rPr>
          <w:rFonts w:ascii="Arial" w:hAnsi="Arial" w:cs="Arial"/>
          <w:sz w:val="24"/>
          <w:sz-cs w:val="24"/>
          <w:spacing w:val="0"/>
          <w:color w:val="18202B"/>
        </w:rPr>
        <w:t xml:space="preserve">0.002265</w:t>
      </w:r>
    </w:p>
    <w:p>
      <w:pPr/>
      <w:r>
        <w:rPr>
          <w:rFonts w:ascii="Arial" w:hAnsi="Arial" w:cs="Arial"/>
          <w:sz w:val="24"/>
          <w:sz-cs w:val="24"/>
          <w:spacing w:val="0"/>
          <w:color w:val="18202B"/>
        </w:rPr>
        <w:t xml:space="preserve">0.0257</w:t>
      </w:r>
    </w:p>
    <w:p>
      <w:pPr/>
      <w:r>
        <w:rPr>
          <w:rFonts w:ascii="Arial" w:hAnsi="Arial" w:cs="Arial"/>
          <w:sz w:val="24"/>
          <w:sz-cs w:val="24"/>
          <w:spacing w:val="0"/>
          <w:color w:val="18202B"/>
        </w:rPr>
        <w:t xml:space="preserve">Evening (18:00–24:00) snapshot interval change</w:t>
      </w:r>
    </w:p>
    <w:p>
      <w:pPr/>
      <w:r>
        <w:rPr>
          <w:rFonts w:ascii="Arial" w:hAnsi="Arial" w:cs="Arial"/>
          <w:sz w:val="24"/>
          <w:sz-cs w:val="24"/>
          <w:spacing w:val="0"/>
          <w:color w:val="18202B"/>
        </w:rPr>
        <w:t xml:space="preserve">+0.524</w:t>
      </w:r>
    </w:p>
    <w:p>
      <w:pPr/>
      <w:r>
        <w:rPr>
          <w:rFonts w:ascii="Arial" w:hAnsi="Arial" w:cs="Arial"/>
          <w:sz w:val="24"/>
          <w:sz-cs w:val="24"/>
          <w:spacing w:val="0"/>
          <w:color w:val="18202B"/>
        </w:rPr>
        <w:t xml:space="preserve">29</w:t>
      </w:r>
    </w:p>
    <w:p>
      <w:pPr/>
      <w:r>
        <w:rPr>
          <w:rFonts w:ascii="Arial" w:hAnsi="Arial" w:cs="Arial"/>
          <w:sz w:val="24"/>
          <w:sz-cs w:val="24"/>
          <w:spacing w:val="0"/>
          <w:color w:val="18202B"/>
        </w:rPr>
        <w:t xml:space="preserve">0.003554</w:t>
      </w:r>
    </w:p>
    <w:p>
      <w:pPr/>
      <w:r>
        <w:rPr>
          <w:rFonts w:ascii="Arial" w:hAnsi="Arial" w:cs="Arial"/>
          <w:sz w:val="24"/>
          <w:sz-cs w:val="24"/>
          <w:spacing w:val="0"/>
          <w:color w:val="18202B"/>
        </w:rPr>
        <w:t xml:space="preserve">0.0302</w:t>
      </w:r>
    </w:p>
    <w:p>
      <w:pPr/>
      <w:r>
        <w:rPr>
          <w:rFonts w:ascii="Arial" w:hAnsi="Arial" w:cs="Arial"/>
          <w:sz w:val="24"/>
          <w:sz-cs w:val="24"/>
          <w:spacing w:val="0"/>
          <w:color w:val="18202B"/>
        </w:rPr>
        <w:t xml:space="preserve">Morning (06:00–12:00) snapshot interval change</w:t>
      </w:r>
    </w:p>
    <w:p>
      <w:pPr/>
      <w:r>
        <w:rPr>
          <w:rFonts w:ascii="Arial" w:hAnsi="Arial" w:cs="Arial"/>
          <w:sz w:val="24"/>
          <w:sz-cs w:val="24"/>
          <w:spacing w:val="0"/>
          <w:color w:val="18202B"/>
        </w:rPr>
        <w:t xml:space="preserve">+0.485</w:t>
      </w:r>
    </w:p>
    <w:p>
      <w:pPr/>
      <w:r>
        <w:rPr>
          <w:rFonts w:ascii="Arial" w:hAnsi="Arial" w:cs="Arial"/>
          <w:sz w:val="24"/>
          <w:sz-cs w:val="24"/>
          <w:spacing w:val="0"/>
          <w:color w:val="18202B"/>
        </w:rPr>
        <w:t xml:space="preserve">31</w:t>
      </w:r>
    </w:p>
    <w:p>
      <w:pPr/>
      <w:r>
        <w:rPr>
          <w:rFonts w:ascii="Arial" w:hAnsi="Arial" w:cs="Arial"/>
          <w:sz w:val="24"/>
          <w:sz-cs w:val="24"/>
          <w:spacing w:val="0"/>
          <w:color w:val="18202B"/>
        </w:rPr>
        <w:t xml:space="preserve">0.005723</w:t>
      </w:r>
    </w:p>
    <w:p>
      <w:pPr/>
      <w:r>
        <w:rPr>
          <w:rFonts w:ascii="Arial" w:hAnsi="Arial" w:cs="Arial"/>
          <w:sz w:val="24"/>
          <w:sz-cs w:val="24"/>
          <w:spacing w:val="0"/>
          <w:color w:val="18202B"/>
        </w:rPr>
        <w:t xml:space="preserve">0.0389</w:t>
      </w:r>
    </w:p>
    <w:p>
      <w:pPr>
        <w:spacing w:after="140"/>
      </w:pPr>
      <w:r>
        <w:rPr>
          <w:rFonts w:ascii="Arial" w:hAnsi="Arial" w:cs="Arial"/>
          <w:sz w:val="32"/>
          <w:sz-cs w:val="32"/>
          <w:b/>
          <w:spacing w:val="0"/>
          <w:color w:val="18202B"/>
        </w:rPr>
        <w:t xml:space="preserve">Interpretation</w:t>
      </w:r>
    </w:p>
    <w:p>
      <w:pPr>
        <w:spacing w:after="140"/>
      </w:pPr>
      <w:r>
        <w:rPr>
          <w:rFonts w:ascii="Arial" w:hAnsi="Arial" w:cs="Arial"/>
          <w:sz w:val="28"/>
          <w:sz-cs w:val="28"/>
          <w:spacing w:val="0"/>
          <w:color w:val="18202B"/>
        </w:rPr>
        <w:t xml:space="preserve">The strongest negative associations suggest that greater increases in correction-related interruption and in the relative irregularity of recorded keyboard intervals tended to accompany less favorable Executive Function change. In contrast, increases in typical morning, afternoon, and evening snapshot intervals were positively associated with Executive Function change. These timing measures are derived from logged text-state snapshots rather than individual physical keystrokes, so longer intervals must not be equated directly with slower typing.</w:t>
      </w:r>
    </w:p>
    <w:p>
      <w:pPr>
        <w:spacing w:after="140"/>
      </w:pPr>
      <w:r>
        <w:rPr>
          <w:rFonts w:ascii="Arial" w:hAnsi="Arial" w:cs="Arial"/>
          <w:sz w:val="32"/>
          <w:sz-cs w:val="32"/>
          <w:b/>
          <w:spacing w:val="0"/>
          <w:color w:val="18202B"/>
        </w:rPr>
        <w:t xml:space="preserve">Statistical interpretation and limitations</w:t>
      </w:r>
    </w:p>
    <w:p>
      <w:pPr>
        <w:spacing w:after="140"/>
      </w:pPr>
      <w:r>
        <w:rPr>
          <w:rFonts w:ascii="Arial" w:hAnsi="Arial" w:cs="Arial"/>
          <w:sz w:val="28"/>
          <w:sz-cs w:val="28"/>
          <w:spacing w:val="0"/>
          <w:color w:val="18202B"/>
        </w:rPr>
        <w:t xml:space="preserve">All five findings are statistically significant under BH-FDR applied to the complete set of 34 Executive Function comparisons (q = 0.0134–0.0389). The effective samples were small (n = 28–33), limiting precision and statistical power to detect moderate effects; the estimated associations require confirmation before clinical interpretation. The EF-specific family was examined post hoc after the broader exploratory results were reviewed, so these q-values establish significance within that restricted exploratory family, not independent confirmatory evidence. Recording cadence, app/device changes, and observation coverage remain potential influences on measured associations.</w:t>
      </w:r>
    </w:p>
    <w:p>
      <w:pPr>
        <w:spacing w:after="140"/>
      </w:pPr>
      <w:r>
        <w:rPr>
          <w:rFonts w:ascii="Arial" w:hAnsi="Arial" w:cs="Arial"/>
          <w:sz w:val="32"/>
          <w:sz-cs w:val="32"/>
          <w:b/>
          <w:spacing w:val="0"/>
          <w:color w:val="18202B"/>
        </w:rPr>
        <w:t xml:space="preserve">Conclusion</w:t>
      </w:r>
    </w:p>
    <w:p>
      <w:pPr>
        <w:spacing w:after="140"/>
      </w:pPr>
      <w:r>
        <w:rPr>
          <w:rFonts w:ascii="Arial" w:hAnsi="Arial" w:cs="Arial"/>
          <w:sz w:val="28"/>
          <w:sz-cs w:val="28"/>
          <w:spacing w:val="0"/>
          <w:color w:val="18202B"/>
        </w:rPr>
        <w:t xml:space="preserve">The analysis identifies five statistically significant, domain-specific exploratory associations linking longitudinal smartphone keyboard patterns to Executive Function change. These results provide a focused proof of concept for further investigation of timing consistency and interruption-related behavior as candidate digital cognitive measures. Larger, independently evaluated samples with standardized recording and repeated-measure reliability testing are needed before drawing strong clinical conclusions.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